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09DA" w14:textId="6CD439B1" w:rsidR="00063556" w:rsidRPr="009819E6" w:rsidRDefault="000D2DC1" w:rsidP="000D2DC1">
      <w:pPr>
        <w:jc w:val="right"/>
        <w:rPr>
          <w:rFonts w:ascii="Times New Roman" w:hAnsi="Times New Roman" w:cs="Times New Roman"/>
          <w:sz w:val="28"/>
          <w:szCs w:val="28"/>
        </w:rPr>
      </w:pPr>
      <w:r w:rsidRPr="009819E6">
        <w:rPr>
          <w:rFonts w:ascii="Times New Roman" w:hAnsi="Times New Roman" w:cs="Times New Roman"/>
          <w:sz w:val="28"/>
          <w:szCs w:val="28"/>
        </w:rPr>
        <w:t>Приложени</w:t>
      </w:r>
      <w:r w:rsidR="00482C86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9819E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9BFC3E9" w14:textId="77777777" w:rsidR="000D2DC1" w:rsidRPr="00ED3174" w:rsidRDefault="000D2DC1" w:rsidP="00460B5D">
      <w:pPr>
        <w:pStyle w:val="1"/>
        <w:spacing w:line="276" w:lineRule="auto"/>
        <w:ind w:left="0"/>
      </w:pPr>
      <w:bookmarkStart w:id="1" w:name="_Toc119344124"/>
      <w:bookmarkStart w:id="2" w:name="_Toc122979285"/>
      <w:r w:rsidRPr="00ED3174">
        <w:t>SWOT-АНАЛИЗ РАЗВИТИЯ ТЕРРИТОРИИ МО «ГОРОД ГАТЧИНА», РАЗРАБОТКА ВОЗМОЖНЫХ СЦЕНАРИЕВ СОЦИАЛЬНО-ЭКОНОМИЧЕСКОГО РАЗВИТИЯ, ВЫБОР БАЗОВОГО СЦЕНАРИЯ</w:t>
      </w:r>
      <w:bookmarkEnd w:id="1"/>
      <w:bookmarkEnd w:id="2"/>
    </w:p>
    <w:p w14:paraId="1CCB8951" w14:textId="77777777" w:rsidR="000D2DC1" w:rsidRPr="00ED3174" w:rsidRDefault="000D2DC1" w:rsidP="000D2DC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A268F3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В результате SWOT-анализа «Город Гатчина» было выявлено, что число конкурентных преимуществ в муниципальном образовании превалирует над числом проблем. Это позволяет сделать вывод о том, МО «Город Гатчина» находится в умеренной зоне риска. Для активизации дисбаланса необходимо нивелировать существующие проблемы за счет реализации и наращивания конкурентных преимуществ территории, реализации приоритетных социально-экономических целевых программ. Развитие сильных сторон и потенциалов позволит уменьшить уровень опасности существующих проблем.</w:t>
      </w:r>
    </w:p>
    <w:p w14:paraId="07A0DB0B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Преобладание возможностей над угрозами социально-экономического положения города позволяет с большей эффективностью использовать потенциал территории.</w:t>
      </w:r>
    </w:p>
    <w:p w14:paraId="40FFE147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Среди конкурентных преимуществ выделены основные блоки: благоприятные </w:t>
      </w:r>
      <w:r w:rsidRPr="00ED3174">
        <w:rPr>
          <w:rFonts w:ascii="Times New Roman" w:hAnsi="Times New Roman" w:cs="Times New Roman"/>
          <w:sz w:val="24"/>
          <w:szCs w:val="24"/>
        </w:rPr>
        <w:t xml:space="preserve">условия для развития научного и инновационного секторов экономики, промышленная специализация предприятий города, наличие большого числа объектов культурного наследия, удобное расположение для развития транспортного узла. </w:t>
      </w:r>
    </w:p>
    <w:p w14:paraId="3372480C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Основными слабыми сторонами МО «Город Гатчина» являются: низкий уровень демографического потенциала населения, ограниченное пространство для градостроительного развития, низкая степень развитости туристской инфраструктуры.</w:t>
      </w:r>
    </w:p>
    <w:p w14:paraId="4242B360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Результаты, полученные в ходе исследования целесообразно применять при определении стратегической перспективы развития муниципального образования до 2035 года.</w:t>
      </w:r>
    </w:p>
    <w:p w14:paraId="13E83A80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19050F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74">
        <w:rPr>
          <w:rFonts w:ascii="Times New Roman" w:hAnsi="Times New Roman" w:cs="Times New Roman"/>
          <w:i/>
          <w:iCs/>
          <w:sz w:val="24"/>
          <w:szCs w:val="24"/>
        </w:rPr>
        <w:t>Сильные стороны МО «Город Гатчина»</w:t>
      </w:r>
    </w:p>
    <w:p w14:paraId="0DE3F202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C7FD3B" w14:textId="77777777" w:rsidR="000D2DC1" w:rsidRPr="00ED3174" w:rsidRDefault="000D2DC1" w:rsidP="000D2D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 xml:space="preserve">Благоприятные условия для развития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>научного и инновационного секторов</w:t>
      </w:r>
      <w:r w:rsidRPr="00ED3174">
        <w:rPr>
          <w:rFonts w:ascii="Times New Roman" w:hAnsi="Times New Roman" w:cs="Times New Roman"/>
          <w:sz w:val="24"/>
          <w:szCs w:val="24"/>
        </w:rPr>
        <w:t xml:space="preserve"> в экономике.</w:t>
      </w:r>
    </w:p>
    <w:p w14:paraId="1F4ABDB7" w14:textId="6B329995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Пространственная и организационная структура МО «Город Гатчина» дает возможность оптимальным образом организовать кооперацию промышленных и научных предприятий внутри территории. НПЭК института обладает уникальной научно-производственной, испытательной и контрольной базой, позволяющей выплавлять опытные партии новых материалов, изготавливать из них конструкции и изделия, проводить всесторонние испытания, разрушающий и неразрушающий контроль выпускаемой продукции.</w:t>
      </w:r>
      <w:r w:rsidRPr="00ED3174">
        <w:rPr>
          <w:rFonts w:ascii="Times New Roman" w:hAnsi="Times New Roman" w:cs="Times New Roman"/>
          <w:sz w:val="24"/>
          <w:szCs w:val="24"/>
        </w:rPr>
        <w:br/>
        <w:t>Разработка новых направлений и совершенствование уже существующих в производственных и непроизводственных сферах дает возможность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объединить в себе приоритетные отрасли экономики.</w:t>
      </w:r>
    </w:p>
    <w:p w14:paraId="115CE3EF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организации производства «промышленная кооперация» относится к категории стратегически значимого тренда развития в регионе, и в стране в целом. Инновационное объединение предприятий в МО «Город Гатчина» может содержать в своих будущих разработках принципиально новые алгоритмы производства для промышленных предприятий страны, создает серьезные предпосылки для устойчивого экономического развития МО «Город Гатчина» путем достижения и поддержания лидирующих позиций в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lastRenderedPageBreak/>
        <w:t>сфере использования нанотехнологий, что наилучшим образом сказывается на формировании условий функционирования субъектов предпринимательской деятельности.</w:t>
      </w:r>
    </w:p>
    <w:p w14:paraId="33A1021F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Разработка и развитие стимулирующих механизмов по обеспечению инновационной активности предприятий города создает благоприятные условия для внедрения системы «Умный город».</w:t>
      </w:r>
    </w:p>
    <w:p w14:paraId="42DB1EE0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C5961" w14:textId="77777777" w:rsidR="000D2DC1" w:rsidRPr="00ED3174" w:rsidRDefault="000D2DC1" w:rsidP="000D2D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Промышленная специализация экономики</w:t>
      </w:r>
    </w:p>
    <w:p w14:paraId="053DCE8F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 xml:space="preserve">МО «Город Гатчина» является одним из промышленных центров Ленинградской области. Роль крупного бизнеса, основным видом деятельности которого является обрабатывающее производство, особо заметна по итоговым экономическим показателям отчетов СЭР, а также общей пространственной структуре города. Промышленное производство является одним из главных факторов развития муниципального образования, особенно в условиях повышения конкурентоспособности региона на базе инновационных кластеров.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Разработка высокотехнологических производственных программ на базе НПЭК позволяет внедрить новую систему алгоритмов. При симбиозе научного и промышленного направлений предприятий города закономерен синергетический эффект. </w:t>
      </w:r>
      <w:r w:rsidRPr="00ED3174">
        <w:rPr>
          <w:rFonts w:ascii="Times New Roman" w:hAnsi="Times New Roman" w:cs="Times New Roman"/>
          <w:sz w:val="24"/>
          <w:szCs w:val="24"/>
        </w:rPr>
        <w:t xml:space="preserve">Промышленные предприятия создают львиную долю рабочих мест и привлекают трудовые ресурсы, тем самым способствуют развитию всей инфраструктуры муниципального образования.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Развитие инновационных разработок стимулирует привлечение высокопроизводительных научных сотрудников, а также получение дополнительной инвестиционной поддержки для развития и внедрения нанотехнологий со стороны государства и бизнеса. </w:t>
      </w:r>
      <w:r w:rsidRPr="00ED3174">
        <w:rPr>
          <w:rFonts w:ascii="Times New Roman" w:hAnsi="Times New Roman" w:cs="Times New Roman"/>
          <w:sz w:val="24"/>
          <w:szCs w:val="24"/>
        </w:rPr>
        <w:t>Реализуемые в городе проекты индустриализации, оказывают значительное влияние и на социально-экономическую среду муниципального образования.</w:t>
      </w:r>
    </w:p>
    <w:p w14:paraId="2F2A0237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CFA5" w14:textId="77777777" w:rsidR="000D2DC1" w:rsidRPr="00ED3174" w:rsidRDefault="000D2DC1" w:rsidP="000D2D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Историко-культурный потенциал</w:t>
      </w:r>
    </w:p>
    <w:p w14:paraId="1C61DAB7" w14:textId="5F126803" w:rsidR="000D2DC1" w:rsidRPr="00A84E2D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является одним из главных привлекательных исторических </w:t>
      </w:r>
      <w:r w:rsidR="00EE5602">
        <w:rPr>
          <w:rFonts w:ascii="Times New Roman" w:eastAsia="Times New Roman" w:hAnsi="Times New Roman" w:cs="Times New Roman"/>
          <w:sz w:val="24"/>
          <w:szCs w:val="24"/>
        </w:rPr>
        <w:t>городов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области. Наличие на территории города большого количества объектов культурно-исторического наследия на сегодняшний день является недооцененным. В настоящий момент туристские маршруты города входят в категорию коротких познавательных программ. При этом популяризация туризма несет в себе высокий потенциал развития города. Активная деятельность в сфере организации и проведения культурно-массовых и спортивных мероприятий обеспечивает спрос, как со стороны постоянного населения, так и со стороны туристов. Город может позиционироваться и развивать как внутренний, так и въездной туризм. В формировании данного сектора экономики огромную роль играет создание и развитие туристской инфраструктуры: коллективных средств размещения, предприятий общественного питания и др. </w:t>
      </w:r>
    </w:p>
    <w:p w14:paraId="71105600" w14:textId="77777777" w:rsidR="000D2DC1" w:rsidRPr="00ED3174" w:rsidRDefault="000D2DC1" w:rsidP="000D2D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Привлекательность муниципального образования для трудовой миграции</w:t>
      </w:r>
    </w:p>
    <w:p w14:paraId="1AC02EB2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Высокий уровень плотности населения в сопоставлении с другими муниципальными образованиями региона говорит о привлекательности его территории для развития человеческого потенциала: сравнительно низкий уровень безработицы, размер заработной платы превышает средний по региону. Сосредоточенность экономики города на промышленной и научной деятельности демонстрирует потребность в инженерных, научных и производственных кадрах. Предприятия заинтересованы в расширении своего производства и тем самым обеспечивают создание новых рабочих мест, и, как следствие, разработки системы стимулов для привлечения персонала.</w:t>
      </w:r>
    </w:p>
    <w:p w14:paraId="59CC1D55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E2857" w14:textId="77777777" w:rsidR="000D2DC1" w:rsidRPr="00ED3174" w:rsidRDefault="000D2DC1" w:rsidP="000D2D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lastRenderedPageBreak/>
        <w:t xml:space="preserve">Выгодное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>экономико-географическое положение, обеспечивающее развитый транспортный узел</w:t>
      </w:r>
    </w:p>
    <w:p w14:paraId="16AE38A5" w14:textId="3875B2CA" w:rsidR="000D2DC1" w:rsidRPr="00ED3174" w:rsidRDefault="000D2DC1" w:rsidP="000D2DC1">
      <w:pPr>
        <w:pStyle w:val="a7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Для более комплексного развития муниципального образования, необходимо обозначить в качестве одной из сильных сторон – территориальное расположение. Что дает возможность принимать активное участие в логистических цепочках (железнодорожные грузоперевозки), а также привлекать туристов за счет удобства перемещения на автотранспорте. МО «Город Гатчина» обеспечивает доступ к трем железнодорожным магистралям и двум трассам федерального значения Р23. Сам город расположен в стратегической близости от г. Санкт-</w:t>
      </w:r>
      <w:proofErr w:type="gramStart"/>
      <w:r w:rsidRPr="00ED3174">
        <w:rPr>
          <w:rFonts w:ascii="Times New Roman" w:hAnsi="Times New Roman" w:cs="Times New Roman"/>
          <w:sz w:val="24"/>
          <w:szCs w:val="24"/>
        </w:rPr>
        <w:t>Петербург,  являясь</w:t>
      </w:r>
      <w:proofErr w:type="gramEnd"/>
      <w:r w:rsidRPr="00ED3174">
        <w:rPr>
          <w:rFonts w:ascii="Times New Roman" w:hAnsi="Times New Roman" w:cs="Times New Roman"/>
          <w:sz w:val="24"/>
          <w:szCs w:val="24"/>
        </w:rPr>
        <w:t xml:space="preserve"> одним из подцентров крупнейшей агломерации. </w:t>
      </w:r>
    </w:p>
    <w:p w14:paraId="34BFDDC5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Важнейшей тенденцией города является развитие научно-исследовательского направления для бизнеса на базе НПЭК. Активной движущей силой является человеческий фактор и развитость транспортной сети напрямую относится к системе стимулов для высококвалифицированных специалистов. Сказывается на привлекательности и комфорте для передвижения.</w:t>
      </w:r>
    </w:p>
    <w:p w14:paraId="3FABA183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5FFB5A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Возможности </w:t>
      </w:r>
      <w:r w:rsidRPr="00ED3174">
        <w:rPr>
          <w:rFonts w:ascii="Times New Roman" w:hAnsi="Times New Roman" w:cs="Times New Roman"/>
          <w:i/>
          <w:iCs/>
          <w:sz w:val="24"/>
          <w:szCs w:val="24"/>
        </w:rPr>
        <w:t>МО «Город Гатчина»</w:t>
      </w:r>
    </w:p>
    <w:p w14:paraId="1B3A8097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E63F2FA" w14:textId="77777777" w:rsidR="000D2DC1" w:rsidRPr="00ED3174" w:rsidRDefault="000D2DC1" w:rsidP="000D2DC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Новая позиция МО «Город Гатчина» как столицы Ленинградской области</w:t>
      </w:r>
    </w:p>
    <w:p w14:paraId="4B6D3DA8" w14:textId="77777777" w:rsidR="000D2DC1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Данный факт может способствовать миграционному притоку жителей сопряженных территорий Ленинградской области. При перемещении рабочих мест ИОГВ, часть сотрудников может отказаться, часть рассмотрит перемещение постоянного местожительства на территории МО «Город Гатчина». В качестве положительного следствия следует отметить новый потенциал для демографического развития, если сотрудники захотят постоянно проживать на территории муниципального образования. В результате метода экспертных оценок было выявлено, что на текущий момент в городе недостаточно развита сфера услуг (организации бытового обслуживания граждан). Планируемый миграционный приток послужит стимулом для развития малого и среднего бизнеса и может иметь вполне целенаправленный вектор для разнообразия сфер предпринимательской деятельности.</w:t>
      </w:r>
    </w:p>
    <w:p w14:paraId="38E331E5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FDEC30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AF102" w14:textId="77777777" w:rsidR="000D2DC1" w:rsidRPr="00ED3174" w:rsidRDefault="000D2DC1" w:rsidP="000D2DC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Внедрение системы «Умный город»</w:t>
      </w:r>
    </w:p>
    <w:p w14:paraId="0067D3CC" w14:textId="46F27D95" w:rsidR="000D2DC1" w:rsidRPr="00ED3174" w:rsidRDefault="000D2DC1" w:rsidP="00DD3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Систему «Умный город» необходимо рассматривать как определенную концепцию по внедрению информационно-коммуникационных решений в систему управления муниципальным образованием. Данный формат организации городского пространства дает возможность по </w:t>
      </w:r>
      <w:r w:rsidRPr="00ED3174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>комфортной городской среды. Непосредственным образом влияет на уровень и качество жизни населения. Развитие системы происходит за счет применения инновационных технологий в таких направлениях функционирования города как: жилищно-коммунальное хозяйство, транспорт, пространство общественной коммуникации, электронное правительство, «зеленые» пространства территории, безопасность граждан и т.п. Практика отслеживания условий, в которых функционирует тот или иной объект направлена на снижение финансовых и временных затрат в случае их замены или проведения ремонтных работ. Высокий уровень информатизации муниципального образования за счет внедрения передовых коммуникационных технологий дает возможность для обеспечения быстрого реагирования на аварийные ситуации с целью налаживания условий жизни города.</w:t>
      </w:r>
    </w:p>
    <w:p w14:paraId="2A34F8CD" w14:textId="77777777" w:rsidR="000D2DC1" w:rsidRPr="00ED3174" w:rsidRDefault="000D2DC1" w:rsidP="000D2DC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lastRenderedPageBreak/>
        <w:t>Уникальный потенциал для развития туристской деятельности</w:t>
      </w:r>
    </w:p>
    <w:p w14:paraId="4D399316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Исторически сложившийся культурный ландшафт дворцово-паркового ансамбля стал главной парковой зоной города. Данный объект культурного наследия муниципального образования играет важную социально-культурную роль в жизни постоянно проживающего населения, а также имеет большую привлекательность для туристских потоков. Расширение туристского фокуса деятельности МО «Город Гатчина» за счет развлекательного наполнения туристских программ, реализуемых на территории, дает возможность повысить число посещений приезжающих. В том числе, отмечаемая в последнее десятилетие тенденция по переезду жителей из мегаполиса в более спокойные для проживания пригородные районы напрямую зависит от насыщенной культурной жизни и инфраструктуры. Таким образом, рассматриваемая зона рекреации может быть использована в качестве приоритета при выборе места проживания граждан, желающих покинуть городскую среду мегаполиса. Степень озеленения и эстетики территории может сыграть определяющую роль при желании туристов остаться на постоянное проживание в МО «Город Гатчина».</w:t>
      </w:r>
    </w:p>
    <w:p w14:paraId="34CC8736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C02C1" w14:textId="77777777" w:rsidR="000D2DC1" w:rsidRPr="00ED3174" w:rsidRDefault="000D2DC1" w:rsidP="000D2DC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Благоприятная деловая среда для развития малого и среднего бизнеса</w:t>
      </w:r>
    </w:p>
    <w:p w14:paraId="3BB25B50" w14:textId="77777777" w:rsidR="000D2DC1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существует налаженный механизм по поддержке бизнес-структур - Муниципальный фонд поддержки малого и среднего предпринимательства Гатчинского муниципального района. Все бизнес-идеи поддерживаются руководством муниципального образования. Динамика показателей малого и среднего предпринимательства демонстрирует эффективность сотрудничества и постоянную предпринимательскую активность. Присутствует большой потенциал для развития деятельности в сфере услуг, в том числе научной и туристкой инфраструктуры. При организации сотрудничества между промышленными предприятиями города и частным бизнесом возможна слаженная синергия, позволяющая выйти на российский и международный рынки с инновационными разработками.</w:t>
      </w:r>
    </w:p>
    <w:p w14:paraId="4465E48E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DE2EC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72837" w14:textId="77777777" w:rsidR="000D2DC1" w:rsidRPr="00ED3174" w:rsidRDefault="000D2DC1" w:rsidP="000D2DC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Привлекательность для внешних инвестиций</w:t>
      </w:r>
    </w:p>
    <w:p w14:paraId="5DCE8D76" w14:textId="37895DE0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Научно-инновационный профиль города благодаря </w:t>
      </w:r>
      <w:r w:rsidRPr="00ED3174">
        <w:rPr>
          <w:rFonts w:ascii="Times New Roman" w:hAnsi="Times New Roman" w:cs="Times New Roman"/>
          <w:sz w:val="24"/>
          <w:szCs w:val="24"/>
        </w:rPr>
        <w:t>научно-производственному комплексу, состоящему из НИЦ «Курчатовский институт» - ПИЯФ, АО «Концерн «ЦНИИ «</w:t>
      </w:r>
      <w:proofErr w:type="spellStart"/>
      <w:r w:rsidRPr="00ED3174">
        <w:rPr>
          <w:rFonts w:ascii="Times New Roman" w:hAnsi="Times New Roman" w:cs="Times New Roman"/>
          <w:sz w:val="24"/>
          <w:szCs w:val="24"/>
        </w:rPr>
        <w:t>Элеткроприбор</w:t>
      </w:r>
      <w:proofErr w:type="spellEnd"/>
      <w:r w:rsidRPr="00ED3174">
        <w:rPr>
          <w:rFonts w:ascii="Times New Roman" w:hAnsi="Times New Roman" w:cs="Times New Roman"/>
          <w:sz w:val="24"/>
          <w:szCs w:val="24"/>
        </w:rPr>
        <w:t xml:space="preserve">», НИЦ КИ ЦНИИ КМ «Прометей», НАНОПАРК «Гатчина»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дает возможности для развития бизнеса на территории муниципального образования. Площадка индустриального парка является проявлением новаторского подхода и базой для дальнейшего развития научной сферы МО «Город Гатчина». Адаптируя и апробируя научно-инновационные алгоритмы </w:t>
      </w:r>
      <w:proofErr w:type="spellStart"/>
      <w:r w:rsidRPr="00ED3174">
        <w:rPr>
          <w:rFonts w:ascii="Times New Roman" w:eastAsia="Times New Roman" w:hAnsi="Times New Roman" w:cs="Times New Roman"/>
          <w:sz w:val="24"/>
          <w:szCs w:val="24"/>
        </w:rPr>
        <w:t>нанобизнеса</w:t>
      </w:r>
      <w:proofErr w:type="spellEnd"/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по схожему прототипу, возможно дальнейшее развитие производственных лабораторий других промышленных предприятий. Научно-производственный экспериментальный комплекс (НПЭК) НИЦ «Курчатовский институт» - «ЦНИИ КМ «Прометей» в свою очередь также относится к категории объектов, вызывающих интерес для инвестиционной поддержки. В целом благоприятные возможности говорят о наличии высокого потенциала для роста уровня конкурентоспособности предприятий. </w:t>
      </w:r>
    </w:p>
    <w:p w14:paraId="5815CCA5" w14:textId="77777777" w:rsidR="000D2DC1" w:rsidRPr="00ED3174" w:rsidRDefault="000D2DC1" w:rsidP="000D2DC1">
      <w:pPr>
        <w:pStyle w:val="a4"/>
        <w:spacing w:after="0"/>
        <w:ind w:left="10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7771" w14:textId="77777777" w:rsidR="00DD3CB0" w:rsidRDefault="00DD3CB0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BBBEE55" w14:textId="5BF7682D" w:rsidR="00DD3CB0" w:rsidRDefault="00DD3CB0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D6474CB" w14:textId="77777777" w:rsidR="00DD3CB0" w:rsidRDefault="00DD3CB0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758BB8B" w14:textId="767619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Слабые стороны </w:t>
      </w:r>
      <w:r w:rsidRPr="00ED3174">
        <w:rPr>
          <w:rFonts w:ascii="Times New Roman" w:hAnsi="Times New Roman" w:cs="Times New Roman"/>
          <w:i/>
          <w:iCs/>
          <w:sz w:val="24"/>
          <w:szCs w:val="24"/>
        </w:rPr>
        <w:t>МО «Город Гатчина»</w:t>
      </w:r>
    </w:p>
    <w:p w14:paraId="021FA907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3A429BE" w14:textId="77777777" w:rsidR="000D2DC1" w:rsidRPr="00ED3174" w:rsidRDefault="000D2DC1" w:rsidP="000D2DC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Низкий уровень демографического потенциала и региональный контекст миграции (высокий уровень миграционного оттока в г. Санкт-Петербург)</w:t>
      </w:r>
    </w:p>
    <w:p w14:paraId="1BE21A58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В качестве сдерживающего фактора социально-экономического развития на сегодняшний день выступает депопуляция населения, преимущественно экономически активной группы. Возникает проблема нехватки кадров (предложений по вакансиям больше, чем спрос со стороны рабочей силы) и влечет снижение уровня производительности предприятий. Постоянное население совершает трудовые миграции в близлежащий крупный город Санкт-Петербург, который создает условия получения более высокого дохода и более комфортных условий жизни. Сокращение числа жителей оказывает влияние на развитие социального и экономического потенциала муниципального образования. </w:t>
      </w:r>
    </w:p>
    <w:p w14:paraId="4C1974EA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711C6" w14:textId="77777777" w:rsidR="000D2DC1" w:rsidRPr="00ED3174" w:rsidRDefault="000D2DC1" w:rsidP="000D2DC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Ограниченность градостроительного пространства</w:t>
      </w:r>
    </w:p>
    <w:p w14:paraId="2F618776" w14:textId="5B439753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имеет ограниченную территорию. Компактное расположение жилых домов и плотность общественно-деловой застройки говорит об исчерпании возможности территории для размещения новых жилых объектов и необходимости работы с </w:t>
      </w:r>
      <w:proofErr w:type="spellStart"/>
      <w:r w:rsidRPr="00ED3174">
        <w:rPr>
          <w:rFonts w:ascii="Times New Roman" w:eastAsia="Times New Roman" w:hAnsi="Times New Roman" w:cs="Times New Roman"/>
          <w:sz w:val="24"/>
          <w:szCs w:val="24"/>
        </w:rPr>
        <w:t>браунфилдами</w:t>
      </w:r>
      <w:proofErr w:type="spellEnd"/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. Историко-культурный статус города накладывает ограничения по реконструкции старых построек. Большая площадь </w:t>
      </w:r>
      <w:r w:rsidR="00A20DD8">
        <w:rPr>
          <w:rFonts w:ascii="Times New Roman" w:eastAsia="Times New Roman" w:hAnsi="Times New Roman" w:cs="Times New Roman"/>
          <w:sz w:val="24"/>
          <w:szCs w:val="24"/>
        </w:rPr>
        <w:t xml:space="preserve">зон охраны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>исторических территорий формирует необходимость соблюдения определенных требований к градостроительным регламентам на территории исторического поселения.</w:t>
      </w:r>
    </w:p>
    <w:p w14:paraId="4B968BFD" w14:textId="77777777" w:rsidR="000D2DC1" w:rsidRPr="00ED3174" w:rsidRDefault="000D2DC1" w:rsidP="000D2DC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развития дорожно-транспортной и жилищно-коммунальной инфраструктуры</w:t>
      </w:r>
    </w:p>
    <w:p w14:paraId="698545BE" w14:textId="4B112644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Из-за большого числа железнодорожных переездов в городе происходит скопление транспорта, создается «затор» на дорогах, что снижает пропускную способность трасс. Данную ситуацию усугубляет транзитный грузопоток.  Строительство западного обхода позволит нивелировать проблему в среднесрочной перспективе. Проезд автотранспорта нуждается в технических решениях при пересечении железнодорожных переездов (возведении искусственных сооружений), пролегающих в черте города. В сфере жилищно-коммунального хозяйства отмечается в</w:t>
      </w:r>
      <w:r w:rsidRPr="00ED3174">
        <w:rPr>
          <w:rFonts w:ascii="Times New Roman" w:hAnsi="Times New Roman" w:cs="Times New Roman"/>
          <w:sz w:val="24"/>
          <w:szCs w:val="24"/>
        </w:rPr>
        <w:t>ысокая степень износа ключевых систем тепло- и водоснабжения, водоотведения, канализационных сетей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. Оба описанных инфраструктурных направления нуждаются в инвестиционной поддержке с целью дальнейшей модернизации и успешного внедрения системы «Умный город». </w:t>
      </w:r>
    </w:p>
    <w:p w14:paraId="0A1A1177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CB436" w14:textId="77777777" w:rsidR="000D2DC1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Риски </w:t>
      </w:r>
      <w:r w:rsidRPr="00ED3174">
        <w:rPr>
          <w:rFonts w:ascii="Times New Roman" w:hAnsi="Times New Roman" w:cs="Times New Roman"/>
          <w:i/>
          <w:iCs/>
          <w:sz w:val="24"/>
          <w:szCs w:val="24"/>
        </w:rPr>
        <w:t>МО «Город Гатчина»</w:t>
      </w:r>
    </w:p>
    <w:p w14:paraId="593A3503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10932D" w14:textId="77777777" w:rsidR="000D2DC1" w:rsidRPr="00ED3174" w:rsidRDefault="000D2DC1" w:rsidP="000D2DC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Экологическая обстановка</w:t>
      </w:r>
    </w:p>
    <w:p w14:paraId="7BEAEC14" w14:textId="63B2EF58" w:rsidR="000D2DC1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МО «Город Гатчина» является промышленным центром, производственные предприятия которого оказывают техногенную нагрузку на городскую среду. Но значительная часть выбросов (до половины) приходится на концентрацию содержания в атмосферном воздухе продуктов переработки выхлопных систем автомобильного транспорта</w:t>
      </w:r>
      <w:r w:rsidR="00A94160">
        <w:rPr>
          <w:rFonts w:ascii="Times New Roman" w:eastAsia="Times New Roman" w:hAnsi="Times New Roman" w:cs="Times New Roman"/>
          <w:sz w:val="24"/>
          <w:szCs w:val="24"/>
        </w:rPr>
        <w:t>, а также работы промышленных предприятий и расположения полигона ТКО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. Вследствие чего возникает риск негативного влияния на здоровье граждан.  </w:t>
      </w:r>
    </w:p>
    <w:p w14:paraId="6294F336" w14:textId="07433C35" w:rsidR="00DD3CB0" w:rsidRDefault="00DD3CB0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96BB6" w14:textId="77777777" w:rsidR="00DD3CB0" w:rsidRPr="00ED3174" w:rsidRDefault="00DD3CB0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FA715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9DF85" w14:textId="77777777" w:rsidR="000D2DC1" w:rsidRPr="00ED3174" w:rsidRDefault="000D2DC1" w:rsidP="000D2DC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lastRenderedPageBreak/>
        <w:t>Депопуляция населения</w:t>
      </w:r>
    </w:p>
    <w:p w14:paraId="24B0B3C8" w14:textId="12EBB426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Граждане трудоспособного возраста покидают территорию МО «Город Гатчина» по причине близкого расположения делового и более масштабного центра Санкт-Петербург с более развитой инфраструктурой и конкурентоспособной заработной платой, а также более разнообразной культурно-бытовой сферой жизни. Урбанизация населения и миграция в более крупные города присущ</w:t>
      </w:r>
      <w:r w:rsidR="00D833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всей территории России, муниципальное образование не является исключением. На территории МО «Город Гатчина» прослеживаются два ключевых фактора сокращения численности населения: региональный аспект и естественная убыль населения. Ретроспективный анализ показывает, что тенденция сокращения населения носит сформированный и выраженный характер. Таким образом, без осуществления политики по комплексному демографическому развитию территории, реализации программ сохранения и привлечения кадрового потенциала осуществление стратегии интенсивного развития территории невозможн</w:t>
      </w:r>
      <w:r w:rsidRPr="00ED3174">
        <w:rPr>
          <w:rFonts w:ascii="Times New Roman" w:eastAsia="Times New Roman" w:hAnsi="Times New Roman" w:cs="Times New Roman"/>
          <w:color w:val="0070C0"/>
          <w:sz w:val="24"/>
          <w:szCs w:val="24"/>
        </w:rPr>
        <w:t>о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DB78E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78965" w14:textId="77777777" w:rsidR="000D2DC1" w:rsidRPr="00ED3174" w:rsidRDefault="000D2DC1" w:rsidP="000D2DC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Ухудшение состояния основных фондов и инфраструктурных объектов</w:t>
      </w:r>
    </w:p>
    <w:p w14:paraId="794EB41D" w14:textId="59607998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Высокая степень износа жилищно-коммунальных сетей сигнализирует о наличии значительной угрозы риска возникновения аварии техногенного характера. Спровоцировать данную ситуацию могут любые природные условия, а также не исключен человеческий фактор. Существует единое решение данной проблемы – проведение комплексной замены участков инфраструктурных сетей. Профилактические мероприятия носят адресный характер, не позволяющий добиться высокой эффективности. При возведении новых жилых </w:t>
      </w:r>
      <w:r w:rsidR="00D833A6">
        <w:rPr>
          <w:rFonts w:ascii="Times New Roman" w:eastAsia="Times New Roman" w:hAnsi="Times New Roman" w:cs="Times New Roman"/>
          <w:sz w:val="24"/>
          <w:szCs w:val="24"/>
        </w:rPr>
        <w:t>зданий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прокладка части новых коммуникаций происходит за счет строительных организаций. Поэтому, проблема изношенности относится преимущественно к старым постройкам. Данные жилищно-коммунальные сети нуждаются не только в замене, но и подключении к системе «Умный город», в связи с чем может возникнуть необходимость перепланировки узловых элементов (технологически сложные операции в условиях густонаселенной застройки).</w:t>
      </w:r>
      <w:r w:rsidRPr="00ED31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5B60C73A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7DE4E" w14:textId="77777777" w:rsidR="000D2DC1" w:rsidRPr="00ED3174" w:rsidRDefault="000D2DC1" w:rsidP="000D2DC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Сокращение инвестиционных потоков в научно-исследовательские направления</w:t>
      </w:r>
    </w:p>
    <w:p w14:paraId="50A80ED5" w14:textId="72615C6C" w:rsidR="000D2DC1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Текущая геополитическая ситуация в мире напрямую сказывается на инвестиционной привлекательности государства. Потоки прямых иностранных инвестиций сократились. </w:t>
      </w:r>
      <w:r w:rsidR="00D833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связи с пандемией в 2020 году снижение инвестиций отмечалось на уровне 35%, а к середине 2022 года – более 90%. Внутренние инвестиции присутствуют, но носят недостаточный характер. Сокращение инвестиций в новые проекты не дают возможности реализовать запланированный потенциал в полном объеме. Помимо организации и проведения научных разработок обязательным условием является их апробация и внедрение. Проект не может считаться реализованным без заключения об эффективности разработок. Таким образом, все исследования содержат риск потери актуальности и целесообразности по причине отсутствия достаточного объема финансовых средств для проведения последующих наблюдений. Для сохранения эффективности исследований, необходима налаженная система интеграции с уже действующими предприятиями города, региона или соседних регионов. Данные мероприятия минимизируют риск целесообразности проводимых научных исследований и изысканий.</w:t>
      </w:r>
    </w:p>
    <w:p w14:paraId="5A4DD991" w14:textId="671C08C8" w:rsidR="000D2DC1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9D3E6" w14:textId="77777777" w:rsidR="00DD3CB0" w:rsidRPr="00ED3174" w:rsidRDefault="00DD3CB0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087DC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Таблицы с 1 по 8 раскрывают потенциал (сильные и слабые стороны, а также возможности и угрозы) следующих сфер МО «Город Гатчина»:</w:t>
      </w:r>
    </w:p>
    <w:p w14:paraId="6488EA3F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D3174">
        <w:rPr>
          <w:rFonts w:ascii="Times New Roman" w:hAnsi="Times New Roman" w:cs="Times New Roman"/>
          <w:sz w:val="24"/>
          <w:szCs w:val="24"/>
        </w:rPr>
        <w:t>Экономико-географический потенциал.</w:t>
      </w:r>
    </w:p>
    <w:p w14:paraId="738F5F4E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Социально-демографический потенциал.</w:t>
      </w:r>
    </w:p>
    <w:p w14:paraId="5E482D2B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Историко-культурный потенциал.</w:t>
      </w:r>
    </w:p>
    <w:p w14:paraId="11F9B1F3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Научный потенциал.</w:t>
      </w:r>
    </w:p>
    <w:p w14:paraId="332C7D43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Экономический потенциал.</w:t>
      </w:r>
    </w:p>
    <w:p w14:paraId="4CCE3FD7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Потенциал жилищно-коммунальной сферы.</w:t>
      </w:r>
    </w:p>
    <w:p w14:paraId="1F740668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Потенциал транспортной системы.</w:t>
      </w:r>
    </w:p>
    <w:p w14:paraId="41267B74" w14:textId="77777777" w:rsidR="000D2DC1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Потенциал в сфере досуга и спорта.</w:t>
      </w:r>
    </w:p>
    <w:p w14:paraId="7C5AE967" w14:textId="77777777" w:rsidR="000D2DC1" w:rsidRPr="00A84E2D" w:rsidRDefault="000D2DC1" w:rsidP="000D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91392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1</w:t>
      </w:r>
    </w:p>
    <w:p w14:paraId="4530AB52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Экономико-географический потенциал</w:t>
      </w:r>
    </w:p>
    <w:p w14:paraId="7729361D" w14:textId="77777777" w:rsidR="000D2DC1" w:rsidRPr="00A84E2D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8"/>
        <w:gridCol w:w="4617"/>
      </w:tblGrid>
      <w:tr w:rsidR="000D2DC1" w:rsidRPr="00851C07" w14:paraId="35F6DEC2" w14:textId="77777777" w:rsidTr="002655B5">
        <w:tc>
          <w:tcPr>
            <w:tcW w:w="4786" w:type="dxa"/>
          </w:tcPr>
          <w:p w14:paraId="030DE1C3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469AA69E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6BBA85E5" w14:textId="77777777" w:rsidTr="002655B5">
        <w:tc>
          <w:tcPr>
            <w:tcW w:w="4786" w:type="dxa"/>
          </w:tcPr>
          <w:p w14:paraId="5ACC7D69" w14:textId="77777777" w:rsidR="000D2DC1" w:rsidRPr="00851C07" w:rsidRDefault="000D2DC1" w:rsidP="000D2DC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Большая площадь парковой «зеленой» зоны в городе</w:t>
            </w:r>
          </w:p>
          <w:p w14:paraId="71F4032D" w14:textId="77777777" w:rsidR="000D2DC1" w:rsidRPr="00851C07" w:rsidRDefault="000D2DC1" w:rsidP="000D2DC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Режим ветра и значительное количество осадков рассеивают выбросы в атмосфере; территория характеризуется низким потенциалом загрязнения</w:t>
            </w:r>
          </w:p>
          <w:p w14:paraId="392AD3FA" w14:textId="77777777" w:rsidR="000D2DC1" w:rsidRPr="00851C07" w:rsidRDefault="000D2DC1" w:rsidP="000D2DC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Удобное транспортное-логистическое положение внутри региона</w:t>
            </w:r>
          </w:p>
          <w:p w14:paraId="3B12F6C3" w14:textId="77777777" w:rsidR="000D2DC1" w:rsidRPr="00851C07" w:rsidRDefault="000D2DC1" w:rsidP="000D2DC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Благоприятные природно-климатические условия для жизнедеятельности населения</w:t>
            </w:r>
          </w:p>
          <w:p w14:paraId="6191619E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15ACEE1" w14:textId="77777777" w:rsidR="000D2DC1" w:rsidRPr="00851C07" w:rsidRDefault="000D2DC1" w:rsidP="000D2D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Территория с повышенной влажностью и неустойчивым характером погодных условий</w:t>
            </w:r>
          </w:p>
          <w:p w14:paraId="4E8B663E" w14:textId="231B3B68" w:rsidR="000D2DC1" w:rsidRPr="00D833A6" w:rsidRDefault="000D2DC1" w:rsidP="000D2D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Загруженность транспортной сети из-за большого количества железнодорожных переездов внутри города</w:t>
            </w:r>
          </w:p>
          <w:p w14:paraId="54DE3595" w14:textId="77777777" w:rsidR="000D2DC1" w:rsidRPr="00851C07" w:rsidRDefault="000D2DC1" w:rsidP="000D2D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Высокая концентрация застройки в сочетании с ограниченной площадью города сокращают возможность наращивания производства и открытия новых промышленных предприятий</w:t>
            </w:r>
          </w:p>
        </w:tc>
      </w:tr>
      <w:tr w:rsidR="000D2DC1" w:rsidRPr="00851C07" w14:paraId="1F230491" w14:textId="77777777" w:rsidTr="002655B5">
        <w:tc>
          <w:tcPr>
            <w:tcW w:w="4786" w:type="dxa"/>
          </w:tcPr>
          <w:p w14:paraId="6DAF8A30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02555824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0D1B2D37" w14:textId="77777777" w:rsidTr="002655B5">
        <w:tc>
          <w:tcPr>
            <w:tcW w:w="4786" w:type="dxa"/>
          </w:tcPr>
          <w:p w14:paraId="1D72FDF4" w14:textId="77777777" w:rsidR="000D2DC1" w:rsidRPr="00851C07" w:rsidRDefault="000D2DC1" w:rsidP="000D2DC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относится к строительно-климатической зоне II В (характеризуется благоприятными для проживания условиями)</w:t>
            </w:r>
          </w:p>
          <w:p w14:paraId="1795D63B" w14:textId="77777777" w:rsidR="000D2DC1" w:rsidRPr="00851C07" w:rsidRDefault="000D2DC1" w:rsidP="000D2DC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Увеличение пропускной способности автотранспортных перевозок при реализации и строительстве искусственных сооружений</w:t>
            </w:r>
          </w:p>
          <w:p w14:paraId="6A485605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6333AE" w14:textId="521970F2" w:rsidR="000D2DC1" w:rsidRPr="00851C07" w:rsidRDefault="000D2DC1" w:rsidP="000D2DC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качества воды вследствие хозяйственных работ, проводимых на </w:t>
            </w:r>
            <w:r w:rsidR="00D833A6">
              <w:rPr>
                <w:rFonts w:ascii="Times New Roman" w:hAnsi="Times New Roman" w:cs="Times New Roman"/>
                <w:sz w:val="24"/>
                <w:szCs w:val="24"/>
              </w:rPr>
              <w:t>водозаборах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высокой естественной минерализации.</w:t>
            </w:r>
          </w:p>
          <w:p w14:paraId="27C283A3" w14:textId="77777777" w:rsidR="000D2DC1" w:rsidRPr="00851C07" w:rsidRDefault="000D2DC1" w:rsidP="000D2DC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6" w:hanging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Техногенные аварии, связанные с функционированием промышленных предприятий</w:t>
            </w:r>
          </w:p>
          <w:p w14:paraId="6C40CD91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23C11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E75501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2</w:t>
      </w:r>
    </w:p>
    <w:p w14:paraId="5DB4F8BA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Социально-демографический потенциал</w:t>
      </w:r>
    </w:p>
    <w:p w14:paraId="02B6F108" w14:textId="77777777" w:rsidR="000D2DC1" w:rsidRPr="00A84E2D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5240"/>
        <w:gridCol w:w="4673"/>
      </w:tblGrid>
      <w:tr w:rsidR="000D2DC1" w:rsidRPr="00851C07" w14:paraId="2CB0A739" w14:textId="77777777" w:rsidTr="002655B5">
        <w:tc>
          <w:tcPr>
            <w:tcW w:w="5240" w:type="dxa"/>
          </w:tcPr>
          <w:p w14:paraId="3F49843E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02630B2E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305A301E" w14:textId="77777777" w:rsidTr="002655B5">
        <w:tc>
          <w:tcPr>
            <w:tcW w:w="5240" w:type="dxa"/>
          </w:tcPr>
          <w:p w14:paraId="100C0270" w14:textId="77777777" w:rsidR="000D2DC1" w:rsidRPr="00851C07" w:rsidRDefault="000D2DC1" w:rsidP="000D2D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рабочих мест в количестве, достаточном для развития города</w:t>
            </w:r>
          </w:p>
          <w:p w14:paraId="37C64D2B" w14:textId="77777777" w:rsidR="000D2DC1" w:rsidRPr="00851C07" w:rsidRDefault="000D2DC1" w:rsidP="000D2D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Доступность высокотехнологичной медицинской помощи</w:t>
            </w:r>
          </w:p>
          <w:p w14:paraId="70391248" w14:textId="77777777" w:rsidR="000D2DC1" w:rsidRPr="00851C07" w:rsidRDefault="000D2DC1" w:rsidP="000D2D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Реализация широкого перечня образовательных программ (в том числе для детей с ограниченными возможностями)</w:t>
            </w:r>
          </w:p>
          <w:p w14:paraId="587F48AB" w14:textId="77777777" w:rsidR="000D2DC1" w:rsidRPr="00851C07" w:rsidRDefault="000D2DC1" w:rsidP="000D2D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мер социальной поддержки отдельным гражданам и семьям с детьми</w:t>
            </w:r>
          </w:p>
          <w:p w14:paraId="2613B358" w14:textId="77777777" w:rsidR="000D2DC1" w:rsidRPr="00851C07" w:rsidRDefault="000D2DC1" w:rsidP="000D2D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диспропорции в уровне жизни населения города и Ленинградской области (средний показатель заработной платы в муниципальном образовании выше областного)</w:t>
            </w:r>
          </w:p>
        </w:tc>
        <w:tc>
          <w:tcPr>
            <w:tcW w:w="4673" w:type="dxa"/>
          </w:tcPr>
          <w:p w14:paraId="5CD40E09" w14:textId="77777777" w:rsidR="000D2DC1" w:rsidRPr="00851C07" w:rsidRDefault="000D2DC1" w:rsidP="000D2DC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Длительный спад основных демографических показателей (рост смертности, сокращение рождаемости)</w:t>
            </w:r>
          </w:p>
          <w:p w14:paraId="4E2B4BA8" w14:textId="77777777" w:rsidR="000D2DC1" w:rsidRPr="00851C07" w:rsidRDefault="000D2DC1" w:rsidP="000D2DC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миграционного оттока населения</w:t>
            </w:r>
          </w:p>
          <w:p w14:paraId="6E024472" w14:textId="77777777" w:rsidR="000D2DC1" w:rsidRPr="00851C07" w:rsidRDefault="000D2DC1" w:rsidP="000D2DC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Несоответствие количества свободных вакансий спросу на рынке труда (число вакансий превышает спрос)</w:t>
            </w:r>
          </w:p>
          <w:p w14:paraId="6808B023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D2DC1" w:rsidRPr="00851C07" w14:paraId="210DC170" w14:textId="77777777" w:rsidTr="002655B5">
        <w:tc>
          <w:tcPr>
            <w:tcW w:w="5240" w:type="dxa"/>
          </w:tcPr>
          <w:p w14:paraId="0EF4BCFA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673" w:type="dxa"/>
          </w:tcPr>
          <w:p w14:paraId="5E0280A2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55BFB3C4" w14:textId="77777777" w:rsidTr="002655B5">
        <w:tc>
          <w:tcPr>
            <w:tcW w:w="5240" w:type="dxa"/>
          </w:tcPr>
          <w:p w14:paraId="27C29F76" w14:textId="77777777" w:rsidR="000D2DC1" w:rsidRPr="00851C07" w:rsidRDefault="000D2DC1" w:rsidP="000D2DC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Разнообразие социокультурной программы, что оказывает влияние на культурно-нравственные качества жителей</w:t>
            </w:r>
          </w:p>
          <w:p w14:paraId="706C2710" w14:textId="6EB5F12D" w:rsidR="000D2DC1" w:rsidRPr="00851C07" w:rsidRDefault="000D2DC1" w:rsidP="000D2DC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Начало новой фазы общественного развития, в связи с приобретением статуса столицы Ленинградской области, стимулирование миграционного приток</w:t>
            </w:r>
            <w:r w:rsidR="00456D20">
              <w:rPr>
                <w:rFonts w:ascii="Times New Roman" w:hAnsi="Times New Roman" w:cs="Times New Roman"/>
                <w:sz w:val="24"/>
                <w:szCs w:val="24"/>
              </w:rPr>
              <w:t>, наращивание публичного потенциала</w:t>
            </w:r>
          </w:p>
          <w:p w14:paraId="00238FAC" w14:textId="77777777" w:rsidR="000D2DC1" w:rsidRPr="00851C07" w:rsidRDefault="000D2DC1" w:rsidP="000D2DC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мест на базе инновационных предприятий нанопарка «Гатчина», привлечение международных высококвалифицированных кадров в сфере: нанотехнологий, биотехнологий, </w:t>
            </w:r>
            <w:proofErr w:type="spellStart"/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фармтехнологий</w:t>
            </w:r>
            <w:proofErr w:type="spellEnd"/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38DCCADB" w14:textId="77777777" w:rsidR="000D2DC1" w:rsidRPr="00851C07" w:rsidRDefault="000D2DC1" w:rsidP="000D2D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Низкий уровень обеспеченности местами в образовательных организациях</w:t>
            </w:r>
          </w:p>
          <w:p w14:paraId="095F054F" w14:textId="77777777" w:rsidR="000D2DC1" w:rsidRPr="00851C07" w:rsidRDefault="000D2DC1" w:rsidP="000D2D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Сокращение трудоспособного населения</w:t>
            </w:r>
          </w:p>
          <w:p w14:paraId="1D5B61B2" w14:textId="77777777" w:rsidR="000D2DC1" w:rsidRPr="00851C07" w:rsidRDefault="000D2DC1" w:rsidP="000D2D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Неэффективная политика по увеличению миграционного притока</w:t>
            </w:r>
          </w:p>
        </w:tc>
      </w:tr>
    </w:tbl>
    <w:p w14:paraId="366058B2" w14:textId="77777777" w:rsidR="000D2DC1" w:rsidRDefault="000D2DC1" w:rsidP="000D2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76D1F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3</w:t>
      </w:r>
    </w:p>
    <w:p w14:paraId="4E620A8A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Историко-культурный потенциал</w:t>
      </w:r>
    </w:p>
    <w:p w14:paraId="223B2687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2DC1" w:rsidRPr="00851C07" w14:paraId="66A42C22" w14:textId="77777777" w:rsidTr="002655B5">
        <w:tc>
          <w:tcPr>
            <w:tcW w:w="4672" w:type="dxa"/>
          </w:tcPr>
          <w:p w14:paraId="5241CD14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41654F68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6CB95292" w14:textId="77777777" w:rsidTr="002655B5">
        <w:tc>
          <w:tcPr>
            <w:tcW w:w="4672" w:type="dxa"/>
          </w:tcPr>
          <w:p w14:paraId="433E0F02" w14:textId="77777777" w:rsidR="000D2DC1" w:rsidRPr="00851C07" w:rsidRDefault="000D2DC1" w:rsidP="000D2DC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большого числа объектов культурного наследия</w:t>
            </w:r>
          </w:p>
          <w:p w14:paraId="3ED2A6D4" w14:textId="77777777" w:rsidR="000D2DC1" w:rsidRPr="00851C07" w:rsidRDefault="000D2DC1" w:rsidP="000D2DC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потенциал для развития культурно-познавательного туризма </w:t>
            </w:r>
          </w:p>
          <w:p w14:paraId="3256EA75" w14:textId="77777777" w:rsidR="000D2DC1" w:rsidRPr="00851C07" w:rsidRDefault="000D2DC1" w:rsidP="000D2DC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Высокий уровень востребованности услуг историко-культурного сектора</w:t>
            </w:r>
          </w:p>
          <w:p w14:paraId="4B6D635E" w14:textId="77777777" w:rsidR="000D2DC1" w:rsidRPr="00851C07" w:rsidRDefault="000D2DC1" w:rsidP="000D2DC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туристических маршрутов</w:t>
            </w:r>
          </w:p>
          <w:p w14:paraId="3E89F752" w14:textId="77777777" w:rsidR="000D2DC1" w:rsidRPr="00851C07" w:rsidRDefault="000D2DC1" w:rsidP="000D2DC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Проведение крупных фестивалей и культурно-массовых мероприятий</w:t>
            </w:r>
          </w:p>
        </w:tc>
        <w:tc>
          <w:tcPr>
            <w:tcW w:w="4673" w:type="dxa"/>
          </w:tcPr>
          <w:p w14:paraId="6F5CDEAE" w14:textId="77777777" w:rsidR="000D2DC1" w:rsidRPr="00851C07" w:rsidRDefault="000D2DC1" w:rsidP="000D2DC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 методики «культурного» маркетинга, а также стратегии развития туристского сектора</w:t>
            </w:r>
          </w:p>
          <w:p w14:paraId="58D7B2BE" w14:textId="77777777" w:rsidR="000D2DC1" w:rsidRPr="00851C07" w:rsidRDefault="000D2DC1" w:rsidP="000D2DC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на территории дворцово-паркового ансамбля комплексной программы культурных мероприятий на каждый день</w:t>
            </w:r>
          </w:p>
          <w:p w14:paraId="65F114D6" w14:textId="77777777" w:rsidR="000D2DC1" w:rsidRPr="00851C07" w:rsidRDefault="000D2DC1" w:rsidP="000D2DC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Низкое развитие туристской инфраструктуры</w:t>
            </w:r>
          </w:p>
        </w:tc>
      </w:tr>
      <w:tr w:rsidR="000D2DC1" w:rsidRPr="00851C07" w14:paraId="5AFFC012" w14:textId="77777777" w:rsidTr="002655B5">
        <w:tc>
          <w:tcPr>
            <w:tcW w:w="4672" w:type="dxa"/>
          </w:tcPr>
          <w:p w14:paraId="1CA19C68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7EFA14E0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3E03BAF9" w14:textId="77777777" w:rsidTr="002655B5">
        <w:tc>
          <w:tcPr>
            <w:tcW w:w="4672" w:type="dxa"/>
          </w:tcPr>
          <w:p w14:paraId="2078658E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Присвоение городу статуса исторического поселения федерального значения</w:t>
            </w:r>
          </w:p>
          <w:p w14:paraId="45DCCB75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инфраструктурных объектов сферы культуры с учетом современных требований</w:t>
            </w:r>
          </w:p>
          <w:p w14:paraId="42761D4C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Выстраивание эффективной системы взаимодействия органов власти, субъектов бизнеса, населения, туристского информационного центра</w:t>
            </w:r>
          </w:p>
          <w:p w14:paraId="484EC5A0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международного сотрудничества для привлечения иностранных туристов</w:t>
            </w:r>
          </w:p>
          <w:p w14:paraId="11005CE0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заинтересованности частного бизнеса в организации и проведении историко-культурных мероприятий </w:t>
            </w:r>
          </w:p>
          <w:p w14:paraId="55F7B75E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Перспектива развития научно-познавательного и делового туризма</w:t>
            </w:r>
          </w:p>
        </w:tc>
        <w:tc>
          <w:tcPr>
            <w:tcW w:w="4673" w:type="dxa"/>
          </w:tcPr>
          <w:p w14:paraId="1B42819E" w14:textId="77777777" w:rsidR="000D2DC1" w:rsidRPr="00851C07" w:rsidRDefault="000D2DC1" w:rsidP="000D2DC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инновационных проектов в историко-культурной сфере города</w:t>
            </w:r>
          </w:p>
          <w:p w14:paraId="61735686" w14:textId="77777777" w:rsidR="000D2DC1" w:rsidRPr="00851C07" w:rsidRDefault="000D2DC1" w:rsidP="000D2DC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Отток кадров сферы туризма и гостиничного бизнеса в Санкт-Петербург</w:t>
            </w:r>
          </w:p>
          <w:p w14:paraId="20CB4180" w14:textId="77777777" w:rsidR="000D2DC1" w:rsidRPr="00851C07" w:rsidRDefault="000D2DC1" w:rsidP="000D2DC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сервисной инфраструктуры </w:t>
            </w:r>
          </w:p>
          <w:p w14:paraId="309C97C7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783B0" w14:textId="77777777" w:rsidR="000D2DC1" w:rsidRPr="00851C07" w:rsidRDefault="000D2DC1" w:rsidP="0026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8B99A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651CF1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4</w:t>
      </w:r>
    </w:p>
    <w:p w14:paraId="331414C8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Научный потенциал</w:t>
      </w:r>
    </w:p>
    <w:p w14:paraId="246DFE38" w14:textId="77777777" w:rsidR="000D2DC1" w:rsidRPr="00A84E2D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2DC1" w:rsidRPr="00851C07" w14:paraId="5FFE6262" w14:textId="77777777" w:rsidTr="002655B5">
        <w:tc>
          <w:tcPr>
            <w:tcW w:w="4672" w:type="dxa"/>
          </w:tcPr>
          <w:p w14:paraId="2ABE81B6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6982F503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4389A5E9" w14:textId="77777777" w:rsidTr="002655B5">
        <w:tc>
          <w:tcPr>
            <w:tcW w:w="4672" w:type="dxa"/>
          </w:tcPr>
          <w:p w14:paraId="3D1131D4" w14:textId="77777777" w:rsidR="000D2DC1" w:rsidRPr="00851C07" w:rsidRDefault="000D2DC1" w:rsidP="000D2DC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материально-технической базы для проведения исследований (ПИЯФ и Нанопарк)</w:t>
            </w:r>
          </w:p>
          <w:p w14:paraId="57B15EE4" w14:textId="77777777" w:rsidR="000D2DC1" w:rsidRPr="00851C07" w:rsidRDefault="000D2DC1" w:rsidP="000D2DC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потенциала для привлечения высококвалифицированных кадров</w:t>
            </w:r>
          </w:p>
          <w:p w14:paraId="4A92389A" w14:textId="77777777" w:rsidR="000D2DC1" w:rsidRPr="00851C07" w:rsidRDefault="000D2DC1" w:rsidP="000D2DC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Развитие нанотехнологий осуществляется в лабораторных условиях, без привязки к материальной базе промышленных предприятий</w:t>
            </w:r>
          </w:p>
          <w:p w14:paraId="66925BBC" w14:textId="67112A04" w:rsidR="000D2DC1" w:rsidRPr="00851C07" w:rsidRDefault="000D2DC1" w:rsidP="000D2DC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Широкий спектр возможностей НИЦ КИ – ПИЯФ и НИЦ КИ ЦНИИ КМ Прометей: радиационные технологии, биотехнологии, медицина и фармацевтика, наноэлектроника, нанотехнологии, наноматериалы и прочие инновационные спектры (приборостроение)</w:t>
            </w:r>
          </w:p>
        </w:tc>
        <w:tc>
          <w:tcPr>
            <w:tcW w:w="4673" w:type="dxa"/>
          </w:tcPr>
          <w:p w14:paraId="17D63BCD" w14:textId="77777777" w:rsidR="000D2DC1" w:rsidRPr="00851C07" w:rsidRDefault="000D2DC1" w:rsidP="000D2DC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/>
                <w:sz w:val="24"/>
                <w:szCs w:val="24"/>
              </w:rPr>
              <w:t>Ограниченные возможности внедрения результатов научных исследований в деятельности предприятий города</w:t>
            </w:r>
          </w:p>
          <w:p w14:paraId="10C0EEA8" w14:textId="77777777" w:rsidR="000D2DC1" w:rsidRPr="00851C07" w:rsidRDefault="000D2DC1" w:rsidP="000D2DC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комплексной стратегии развития научного потенциала города</w:t>
            </w:r>
          </w:p>
          <w:p w14:paraId="54906BF0" w14:textId="1FD4F825" w:rsidR="000D2DC1" w:rsidRPr="00851C07" w:rsidRDefault="000D2DC1" w:rsidP="000D2DC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C1" w:rsidRPr="00851C07" w14:paraId="65E9D85D" w14:textId="77777777" w:rsidTr="002655B5">
        <w:tc>
          <w:tcPr>
            <w:tcW w:w="4672" w:type="dxa"/>
          </w:tcPr>
          <w:p w14:paraId="12AEBFAD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54FC1621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1B4732E2" w14:textId="77777777" w:rsidTr="002655B5">
        <w:tc>
          <w:tcPr>
            <w:tcW w:w="4672" w:type="dxa"/>
          </w:tcPr>
          <w:p w14:paraId="571E4299" w14:textId="77777777" w:rsidR="000D2DC1" w:rsidRPr="00851C07" w:rsidRDefault="000D2DC1" w:rsidP="000D2DC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Внутрикорпоративное сотрудничество внутри региона, внедрение результатов научных исследований</w:t>
            </w:r>
          </w:p>
          <w:p w14:paraId="3EEDC71E" w14:textId="77777777" w:rsidR="000D2DC1" w:rsidRPr="00851C07" w:rsidRDefault="000D2DC1" w:rsidP="000D2DC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промышленным потенциалом предприятий города, в том числе ускоренного внедрения</w:t>
            </w:r>
          </w:p>
          <w:p w14:paraId="42FC9414" w14:textId="77777777" w:rsidR="000D2DC1" w:rsidRPr="00851C07" w:rsidRDefault="000D2DC1" w:rsidP="000D2DC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системы передачи и внедрения результатов научных разработок в деятельность специализированных предприятий</w:t>
            </w:r>
          </w:p>
        </w:tc>
        <w:tc>
          <w:tcPr>
            <w:tcW w:w="4673" w:type="dxa"/>
          </w:tcPr>
          <w:p w14:paraId="469A321F" w14:textId="77777777" w:rsidR="000D2DC1" w:rsidRPr="00851C07" w:rsidRDefault="000D2DC1" w:rsidP="000D2DC1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взаимосвязи и внедрения результатов научных исследований в деятельность предприятий реального сектора экономики</w:t>
            </w:r>
          </w:p>
          <w:p w14:paraId="24819BEA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7B789" w14:textId="77777777" w:rsidR="000D2DC1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C8B56C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5</w:t>
      </w:r>
    </w:p>
    <w:p w14:paraId="2AE4C1FC" w14:textId="77777777" w:rsidR="000D2DC1" w:rsidRPr="00A84E2D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Экономический потенциал</w:t>
      </w:r>
    </w:p>
    <w:p w14:paraId="24F29A8B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4957"/>
        <w:gridCol w:w="4673"/>
      </w:tblGrid>
      <w:tr w:rsidR="000D2DC1" w:rsidRPr="00851C07" w14:paraId="7A70115B" w14:textId="77777777" w:rsidTr="002655B5">
        <w:tc>
          <w:tcPr>
            <w:tcW w:w="4957" w:type="dxa"/>
          </w:tcPr>
          <w:p w14:paraId="0A1F909B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77FB3012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5B31E5B0" w14:textId="77777777" w:rsidTr="002655B5">
        <w:tc>
          <w:tcPr>
            <w:tcW w:w="4957" w:type="dxa"/>
          </w:tcPr>
          <w:p w14:paraId="3856C2C6" w14:textId="77777777" w:rsidR="000D2DC1" w:rsidRPr="00851C07" w:rsidRDefault="000D2DC1" w:rsidP="000D2DC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Развитый промышленный сектор (обрабатывающие производства)</w:t>
            </w:r>
          </w:p>
          <w:p w14:paraId="737B035D" w14:textId="77777777" w:rsidR="000D2DC1" w:rsidRPr="00851C07" w:rsidRDefault="000D2DC1" w:rsidP="000D2DC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крупных промышленных предприятий: «Галактика», «</w:t>
            </w: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218 авиационный ремонтный завод», «Буревестник», «</w:t>
            </w:r>
            <w:proofErr w:type="spellStart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Кризо</w:t>
            </w:r>
            <w:proofErr w:type="spellEnd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» и т.д.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CF408" w14:textId="77777777" w:rsidR="000D2DC1" w:rsidRPr="00851C07" w:rsidRDefault="000D2DC1" w:rsidP="000D2DC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уровень интереса населения к малому и среднему бизнесу, исходя из уровня предпринимательской активности.</w:t>
            </w:r>
          </w:p>
          <w:p w14:paraId="2A6AAA74" w14:textId="77777777" w:rsidR="000D2DC1" w:rsidRPr="00851C07" w:rsidRDefault="000D2DC1" w:rsidP="000D2DC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Эффективная поддержка предприятий малого и среднего бизнеса в виде субсидий и активной работы Фонда поддержки малого и среднего предпринимательства - МФО МО "Город Гатчина"</w:t>
            </w:r>
          </w:p>
        </w:tc>
        <w:tc>
          <w:tcPr>
            <w:tcW w:w="4673" w:type="dxa"/>
          </w:tcPr>
          <w:p w14:paraId="5919EBEC" w14:textId="77777777" w:rsidR="000D2DC1" w:rsidRPr="00851C07" w:rsidRDefault="000D2DC1" w:rsidP="000D2DC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Компактность территории города, отсутствие возможности расширения промышленного сектора</w:t>
            </w:r>
          </w:p>
          <w:p w14:paraId="527C9706" w14:textId="77777777" w:rsidR="000D2DC1" w:rsidRPr="00851C07" w:rsidRDefault="000D2DC1" w:rsidP="000D2DC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устойчивых кооперационных связей внутри города между малым, средним и крупным бизнесом</w:t>
            </w:r>
          </w:p>
          <w:p w14:paraId="10BA964D" w14:textId="77777777" w:rsidR="000D2DC1" w:rsidRPr="00851C07" w:rsidRDefault="000D2DC1" w:rsidP="000D2DC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 инвестиционной поддержки отдельных отраслей экономики</w:t>
            </w:r>
          </w:p>
          <w:p w14:paraId="6124C8A2" w14:textId="77777777" w:rsidR="000D2DC1" w:rsidRPr="00851C07" w:rsidRDefault="000D2DC1" w:rsidP="000D2DC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Низкая степень вовлечения предприятий в экспортную деятельность</w:t>
            </w:r>
          </w:p>
        </w:tc>
      </w:tr>
      <w:tr w:rsidR="000D2DC1" w:rsidRPr="00851C07" w14:paraId="3530AD87" w14:textId="77777777" w:rsidTr="002655B5">
        <w:tc>
          <w:tcPr>
            <w:tcW w:w="4957" w:type="dxa"/>
          </w:tcPr>
          <w:p w14:paraId="24456DED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673" w:type="dxa"/>
          </w:tcPr>
          <w:p w14:paraId="1696E089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0B8FEAF1" w14:textId="77777777" w:rsidTr="002655B5">
        <w:tc>
          <w:tcPr>
            <w:tcW w:w="4957" w:type="dxa"/>
          </w:tcPr>
          <w:p w14:paraId="277DF201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Развитие туристского сектора</w:t>
            </w:r>
          </w:p>
          <w:p w14:paraId="25B9E1AA" w14:textId="24730316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несырьевого неэнергетического экспорта </w:t>
            </w:r>
          </w:p>
          <w:p w14:paraId="6712ED4E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Расширение транспортно-логистических потоков</w:t>
            </w:r>
          </w:p>
          <w:p w14:paraId="5C26AC2A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Развитие внутри- и межрегиональной интеграции и кооперации</w:t>
            </w:r>
          </w:p>
          <w:p w14:paraId="52A7B780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международного сотрудничества по внедрению результатов научных исследований </w:t>
            </w:r>
          </w:p>
          <w:p w14:paraId="07378717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Близость делового и экономически развитого центра Санкт-Петербург</w:t>
            </w:r>
          </w:p>
          <w:p w14:paraId="78462BCF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Расширение межрегиональных экономических связей</w:t>
            </w:r>
          </w:p>
          <w:p w14:paraId="370B95B7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Ориентация на экспортный вектор развития производств</w:t>
            </w:r>
          </w:p>
        </w:tc>
        <w:tc>
          <w:tcPr>
            <w:tcW w:w="4673" w:type="dxa"/>
          </w:tcPr>
          <w:p w14:paraId="527B6E83" w14:textId="77777777" w:rsidR="000D2DC1" w:rsidRPr="00851C07" w:rsidRDefault="000D2DC1" w:rsidP="000D2DC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Отток квалифицированных кадров</w:t>
            </w:r>
          </w:p>
          <w:p w14:paraId="644B7A0B" w14:textId="77777777" w:rsidR="000D2DC1" w:rsidRPr="00851C07" w:rsidRDefault="000D2DC1" w:rsidP="000D2DC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Высокая доля затрат на транспортные перевозки (междугороднее сообщение):</w:t>
            </w:r>
            <w:r w:rsidRPr="00851C07">
              <w:rPr>
                <w:sz w:val="24"/>
                <w:szCs w:val="24"/>
              </w:rPr>
              <w:t xml:space="preserve"> 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страхование грузов, услуги транспортных компаний, оплата системы «Платон».</w:t>
            </w:r>
          </w:p>
          <w:p w14:paraId="3E95EBC3" w14:textId="77777777" w:rsidR="000D2DC1" w:rsidRPr="00851C07" w:rsidRDefault="000D2DC1" w:rsidP="000D2DC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Общее падение уровня жизни населения, и как следствие, покупательного спроса</w:t>
            </w:r>
          </w:p>
          <w:p w14:paraId="188263AC" w14:textId="77777777" w:rsidR="000D2DC1" w:rsidRPr="00851C07" w:rsidRDefault="000D2DC1" w:rsidP="000D2DC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Низкий уровень конкурентоспособности предприятий реального сектора экономики</w:t>
            </w:r>
          </w:p>
          <w:p w14:paraId="5D366A11" w14:textId="77777777" w:rsidR="000D2DC1" w:rsidRPr="00851C07" w:rsidRDefault="000D2DC1" w:rsidP="000D2DC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экологических и др. требований к экспортируемой продукции со стороны других государств </w:t>
            </w:r>
          </w:p>
        </w:tc>
      </w:tr>
    </w:tbl>
    <w:p w14:paraId="2B34CE15" w14:textId="77777777" w:rsidR="000D2DC1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D2CDC1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6</w:t>
      </w:r>
    </w:p>
    <w:p w14:paraId="692C1B95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Потенциал жилищно-коммунальной сферы</w:t>
      </w:r>
    </w:p>
    <w:p w14:paraId="5C2B255A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2DC1" w:rsidRPr="00851C07" w14:paraId="4ABAC9BC" w14:textId="77777777" w:rsidTr="002655B5">
        <w:tc>
          <w:tcPr>
            <w:tcW w:w="4672" w:type="dxa"/>
          </w:tcPr>
          <w:p w14:paraId="7E44E20E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33A136A9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0364921C" w14:textId="77777777" w:rsidTr="002655B5">
        <w:tc>
          <w:tcPr>
            <w:tcW w:w="4672" w:type="dxa"/>
          </w:tcPr>
          <w:p w14:paraId="7ADA110D" w14:textId="77777777" w:rsidR="000D2DC1" w:rsidRPr="00851C07" w:rsidRDefault="000D2DC1" w:rsidP="000D2DC1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функционируют несколько предприятий ЖКК, что создает конкуренцию на рынке ЖКУ</w:t>
            </w:r>
          </w:p>
          <w:p w14:paraId="1ACD252C" w14:textId="77777777" w:rsidR="000D2DC1" w:rsidRPr="00851C07" w:rsidRDefault="000D2DC1" w:rsidP="000D2DC1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Внедрение системы интеллектуального учета коммунальных ресурсов (Интеллектуальный центр городского управления)</w:t>
            </w:r>
          </w:p>
        </w:tc>
        <w:tc>
          <w:tcPr>
            <w:tcW w:w="4673" w:type="dxa"/>
          </w:tcPr>
          <w:p w14:paraId="4B17CFCB" w14:textId="77777777" w:rsidR="000D2DC1" w:rsidRPr="00851C07" w:rsidRDefault="000D2DC1" w:rsidP="000D2DC1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Высокий уровень износа тепловых, водопроводных и канализационных сетей</w:t>
            </w:r>
          </w:p>
          <w:p w14:paraId="6B8B6B2C" w14:textId="77777777" w:rsidR="000D2DC1" w:rsidRPr="00851C07" w:rsidRDefault="000D2DC1" w:rsidP="000D2DC1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Неравномерность распределения газификации индивидуальных и многоквартирных домов</w:t>
            </w:r>
          </w:p>
          <w:p w14:paraId="5E9B5B50" w14:textId="77777777" w:rsidR="000D2DC1" w:rsidRPr="00851C07" w:rsidRDefault="000D2DC1" w:rsidP="000D2DC1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Необходимость развития и обновления транспортной и коммунальной инфраструктуры</w:t>
            </w:r>
          </w:p>
          <w:p w14:paraId="090AEE4C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C1" w:rsidRPr="00851C07" w14:paraId="23782A9E" w14:textId="77777777" w:rsidTr="002655B5">
        <w:tc>
          <w:tcPr>
            <w:tcW w:w="4672" w:type="dxa"/>
          </w:tcPr>
          <w:p w14:paraId="4445EE00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49C847D2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744D5658" w14:textId="77777777" w:rsidTr="002655B5">
        <w:tc>
          <w:tcPr>
            <w:tcW w:w="4672" w:type="dxa"/>
          </w:tcPr>
          <w:p w14:paraId="5407B561" w14:textId="77777777" w:rsidR="000D2DC1" w:rsidRPr="00851C07" w:rsidRDefault="000D2DC1" w:rsidP="000D2DC1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Привлечение частных инвестиций в развитие инфраструктуры города благодаря развитию Нанопарка</w:t>
            </w:r>
          </w:p>
          <w:p w14:paraId="46C63D1A" w14:textId="77777777" w:rsidR="000D2DC1" w:rsidRPr="00851C07" w:rsidRDefault="000D2DC1" w:rsidP="000D2DC1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</w:t>
            </w:r>
          </w:p>
          <w:p w14:paraId="3E22F9BE" w14:textId="77777777" w:rsidR="000D2DC1" w:rsidRPr="00851C07" w:rsidRDefault="000D2DC1" w:rsidP="000D2DC1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учреждениях муниципальной формы собственности</w:t>
            </w:r>
          </w:p>
        </w:tc>
        <w:tc>
          <w:tcPr>
            <w:tcW w:w="4673" w:type="dxa"/>
          </w:tcPr>
          <w:p w14:paraId="5ED3CC0F" w14:textId="77777777" w:rsidR="000D2DC1" w:rsidRPr="00851C07" w:rsidRDefault="000D2DC1" w:rsidP="000D2DC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Снижение уровня жизни, и как следствие, платёжеспособности населения</w:t>
            </w:r>
          </w:p>
          <w:p w14:paraId="7E4833B6" w14:textId="77777777" w:rsidR="000D2DC1" w:rsidRPr="00851C07" w:rsidRDefault="000D2DC1" w:rsidP="000D2DC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разнообразия  видов</w:t>
            </w:r>
            <w:proofErr w:type="gramEnd"/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топлива, используемых для отопления жилых домов</w:t>
            </w:r>
          </w:p>
          <w:p w14:paraId="32F4CC46" w14:textId="77777777" w:rsidR="000D2DC1" w:rsidRPr="00851C07" w:rsidRDefault="000D2DC1" w:rsidP="000D2DC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Рост числа аварий по причине изношенности коммунальных сетей</w:t>
            </w:r>
          </w:p>
        </w:tc>
      </w:tr>
    </w:tbl>
    <w:p w14:paraId="55F661A8" w14:textId="185B7B4C" w:rsidR="000D2DC1" w:rsidRDefault="000D2DC1" w:rsidP="000D2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5D839" w14:textId="77777777" w:rsidR="00DD3CB0" w:rsidRPr="00B976B0" w:rsidRDefault="00DD3CB0" w:rsidP="000D2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D5540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7</w:t>
      </w:r>
    </w:p>
    <w:p w14:paraId="628C75AE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Потенциал транспортной системы</w:t>
      </w:r>
    </w:p>
    <w:p w14:paraId="418B7099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2DC1" w:rsidRPr="00851C07" w14:paraId="4CBA30BF" w14:textId="77777777" w:rsidTr="002655B5">
        <w:tc>
          <w:tcPr>
            <w:tcW w:w="4672" w:type="dxa"/>
          </w:tcPr>
          <w:p w14:paraId="1D6B7600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3E9A9E5D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033DAA4D" w14:textId="77777777" w:rsidTr="002655B5">
        <w:tc>
          <w:tcPr>
            <w:tcW w:w="4672" w:type="dxa"/>
          </w:tcPr>
          <w:p w14:paraId="1DECFCDC" w14:textId="4B784DC0" w:rsidR="000D2DC1" w:rsidRPr="00851C07" w:rsidRDefault="000D2DC1" w:rsidP="000D2DC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Выгодное транспортно-географическое положение: транспортный узел связывает </w:t>
            </w: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центр Северо-Западного федерального округа с близлежащими государствами: республика Беларусь</w:t>
            </w:r>
          </w:p>
          <w:p w14:paraId="27AD45DC" w14:textId="77777777" w:rsidR="000D2DC1" w:rsidRPr="00851C07" w:rsidRDefault="000D2DC1" w:rsidP="000D2DC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инвестиционных проектов (строительство западного обхода города)</w:t>
            </w:r>
          </w:p>
          <w:p w14:paraId="3D5DDCC4" w14:textId="77777777" w:rsidR="000D2DC1" w:rsidRPr="00851C07" w:rsidRDefault="000D2DC1" w:rsidP="000D2DC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Разветвленность муниципальных, региональных и федеральных трасс</w:t>
            </w:r>
          </w:p>
          <w:p w14:paraId="54EB2EDB" w14:textId="77777777" w:rsidR="000D2DC1" w:rsidRPr="00851C07" w:rsidRDefault="000D2DC1" w:rsidP="000D2DC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отслеживания передвижения общественного транспорта</w:t>
            </w:r>
          </w:p>
          <w:p w14:paraId="5D7177BA" w14:textId="77777777" w:rsidR="000D2DC1" w:rsidRPr="00851C07" w:rsidRDefault="000D2DC1" w:rsidP="000D2DC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«умных светофоров» для автоматического регулирования транспортного потока</w:t>
            </w:r>
          </w:p>
        </w:tc>
        <w:tc>
          <w:tcPr>
            <w:tcW w:w="4673" w:type="dxa"/>
          </w:tcPr>
          <w:p w14:paraId="650AF12F" w14:textId="77777777" w:rsidR="000D2DC1" w:rsidRPr="00851C07" w:rsidRDefault="000D2DC1" w:rsidP="000D2DC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Большое количество железнодорожных переездов, через которые проходит </w:t>
            </w: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 маршрутов пригородного и городского назначения сокращает пропускную способность автомобильных дорог</w:t>
            </w:r>
          </w:p>
          <w:p w14:paraId="6FD39760" w14:textId="77777777" w:rsidR="000D2DC1" w:rsidRPr="00851C07" w:rsidRDefault="000D2DC1" w:rsidP="000D2DC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качество дорожного покрытия</w:t>
            </w:r>
          </w:p>
          <w:p w14:paraId="23632F05" w14:textId="77777777" w:rsidR="000D2DC1" w:rsidRPr="00851C07" w:rsidRDefault="000D2DC1" w:rsidP="000D2DC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Неэффективная работа общественного транспорта (несоблюдение интервалов движения и др.)</w:t>
            </w:r>
          </w:p>
          <w:p w14:paraId="2F0F9115" w14:textId="77777777" w:rsidR="000D2DC1" w:rsidRPr="00851C07" w:rsidRDefault="000D2DC1" w:rsidP="000D2DC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парковочных мест в городской среде</w:t>
            </w:r>
          </w:p>
        </w:tc>
      </w:tr>
      <w:tr w:rsidR="000D2DC1" w:rsidRPr="00851C07" w14:paraId="7C625B23" w14:textId="77777777" w:rsidTr="002655B5">
        <w:tc>
          <w:tcPr>
            <w:tcW w:w="4672" w:type="dxa"/>
          </w:tcPr>
          <w:p w14:paraId="6FBAED03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71239043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116B0913" w14:textId="77777777" w:rsidTr="002655B5">
        <w:tc>
          <w:tcPr>
            <w:tcW w:w="4672" w:type="dxa"/>
          </w:tcPr>
          <w:p w14:paraId="644F5735" w14:textId="77777777" w:rsidR="000D2DC1" w:rsidRPr="00851C07" w:rsidRDefault="000D2DC1" w:rsidP="000D2DC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числа подъездных путей от предприятий, расположенных в промышленных зонах</w:t>
            </w:r>
          </w:p>
          <w:p w14:paraId="52D17215" w14:textId="77777777" w:rsidR="000D2DC1" w:rsidRPr="00851C07" w:rsidRDefault="000D2DC1" w:rsidP="000D2DC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риведение в соответствии с требованиями законодательства габаритов проезжих частей, пешеходных зон</w:t>
            </w:r>
          </w:p>
          <w:p w14:paraId="481263B3" w14:textId="77777777" w:rsidR="000D2DC1" w:rsidRPr="00851C07" w:rsidRDefault="000D2DC1" w:rsidP="000D2DC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двухуровневых развязок и </w:t>
            </w:r>
            <w:bookmarkStart w:id="3" w:name="_Hlk113887977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путепроводов</w:t>
            </w:r>
            <w:bookmarkEnd w:id="3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железнодорожные переезды</w:t>
            </w:r>
          </w:p>
          <w:p w14:paraId="04879C3A" w14:textId="77777777" w:rsidR="000D2DC1" w:rsidRPr="00851C07" w:rsidRDefault="000D2DC1" w:rsidP="000D2DC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тактового движения электропоездов по </w:t>
            </w:r>
            <w:proofErr w:type="spellStart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внутриагломерационному</w:t>
            </w:r>
            <w:proofErr w:type="spellEnd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(Гатчина - Токсово)</w:t>
            </w:r>
            <w:r w:rsidRPr="00851C07">
              <w:rPr>
                <w:sz w:val="24"/>
                <w:szCs w:val="24"/>
              </w:rPr>
              <w:t xml:space="preserve"> </w:t>
            </w: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</w:p>
        </w:tc>
        <w:tc>
          <w:tcPr>
            <w:tcW w:w="4673" w:type="dxa"/>
          </w:tcPr>
          <w:p w14:paraId="61811A83" w14:textId="77777777" w:rsidR="000D2DC1" w:rsidRPr="00851C07" w:rsidRDefault="000D2DC1" w:rsidP="000D2DC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Повышенная нагрузка на автомобильные дороги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из-за транзитных перевозок</w:t>
            </w:r>
          </w:p>
          <w:p w14:paraId="30E2EB55" w14:textId="77777777" w:rsidR="000D2DC1" w:rsidRPr="00851C07" w:rsidRDefault="000D2DC1" w:rsidP="000D2DC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Ветхость транспортных средств и некоторых остановочных пунктов, влекущих 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снижение качества и безопасности пассажирских перевозок</w:t>
            </w:r>
          </w:p>
          <w:p w14:paraId="0C6AEA42" w14:textId="77777777" w:rsidR="000D2DC1" w:rsidRPr="00851C07" w:rsidRDefault="000D2DC1" w:rsidP="000D2DC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Снижение рентабельности перевозок из-за сокращения числа постоянного населения</w:t>
            </w:r>
          </w:p>
          <w:p w14:paraId="7CA9994D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7D92B" w14:textId="77777777" w:rsidR="000D2DC1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633A76" w14:textId="77777777" w:rsidR="000D2DC1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EC693A9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8</w:t>
      </w:r>
    </w:p>
    <w:p w14:paraId="031BAF96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Потенциал в сфере досуга и спорта</w:t>
      </w:r>
    </w:p>
    <w:p w14:paraId="582BC443" w14:textId="77777777" w:rsidR="000D2DC1" w:rsidRPr="00A84E2D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2DC1" w:rsidRPr="00851C07" w14:paraId="7EC201A9" w14:textId="77777777" w:rsidTr="002655B5">
        <w:tc>
          <w:tcPr>
            <w:tcW w:w="4672" w:type="dxa"/>
          </w:tcPr>
          <w:p w14:paraId="22153614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22C871C9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72BB9251" w14:textId="77777777" w:rsidTr="002655B5">
        <w:tc>
          <w:tcPr>
            <w:tcW w:w="4672" w:type="dxa"/>
          </w:tcPr>
          <w:p w14:paraId="73C6A1D5" w14:textId="77777777" w:rsidR="000D2DC1" w:rsidRPr="00851C07" w:rsidRDefault="000D2DC1" w:rsidP="000D2DC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развитой инфраструктуры в системе спортивных объектов</w:t>
            </w:r>
          </w:p>
          <w:p w14:paraId="263B68E2" w14:textId="77777777" w:rsidR="000D2DC1" w:rsidRPr="00851C07" w:rsidRDefault="000D2DC1" w:rsidP="000D2DC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Активное развитие идеи ЗОЖ, массового занятия спортом</w:t>
            </w:r>
          </w:p>
          <w:p w14:paraId="50336D5C" w14:textId="77777777" w:rsidR="000D2DC1" w:rsidRPr="00851C07" w:rsidRDefault="000D2DC1" w:rsidP="000D2DC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Высокая доля участников из других муниципальных образований в спортивных мероприятиях города</w:t>
            </w:r>
          </w:p>
          <w:p w14:paraId="5FF7324B" w14:textId="77777777" w:rsidR="000D2DC1" w:rsidRPr="00851C07" w:rsidRDefault="000D2DC1" w:rsidP="000D2DC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Высокий уровень мотивации и интереса постоянного населения города к спортивным и культурно-массовым мероприятиям</w:t>
            </w:r>
          </w:p>
        </w:tc>
        <w:tc>
          <w:tcPr>
            <w:tcW w:w="4673" w:type="dxa"/>
          </w:tcPr>
          <w:p w14:paraId="29515937" w14:textId="77777777" w:rsidR="000D2DC1" w:rsidRPr="00851C07" w:rsidRDefault="000D2DC1" w:rsidP="000D2DC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Недостаточная инвестиционная поддержка реализации новых проектов в сфере культуры и спорта</w:t>
            </w:r>
          </w:p>
          <w:p w14:paraId="30D85106" w14:textId="77777777" w:rsidR="000D2DC1" w:rsidRPr="00851C07" w:rsidRDefault="000D2DC1" w:rsidP="000D2DC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Недостаточное развитие культурной и досуговой инфраструктуры</w:t>
            </w:r>
          </w:p>
          <w:p w14:paraId="75A915F0" w14:textId="77777777" w:rsidR="000D2DC1" w:rsidRPr="00851C07" w:rsidRDefault="000D2DC1" w:rsidP="000D2DC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общей концепции спортивных и досуговых мероприятий для лиц с ограниченными возможностями здоровья</w:t>
            </w:r>
            <w:r w:rsidRPr="00851C07">
              <w:rPr>
                <w:sz w:val="24"/>
                <w:szCs w:val="24"/>
              </w:rPr>
              <w:t xml:space="preserve"> </w:t>
            </w:r>
          </w:p>
        </w:tc>
      </w:tr>
      <w:tr w:rsidR="000D2DC1" w:rsidRPr="00851C07" w14:paraId="3EBBA8C8" w14:textId="77777777" w:rsidTr="002655B5">
        <w:tc>
          <w:tcPr>
            <w:tcW w:w="4672" w:type="dxa"/>
          </w:tcPr>
          <w:p w14:paraId="20E930A1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673" w:type="dxa"/>
          </w:tcPr>
          <w:p w14:paraId="2CFB4610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4EE19F4C" w14:textId="77777777" w:rsidTr="002655B5">
        <w:tc>
          <w:tcPr>
            <w:tcW w:w="4672" w:type="dxa"/>
          </w:tcPr>
          <w:p w14:paraId="4046D9BF" w14:textId="77777777" w:rsidR="000D2DC1" w:rsidRPr="00851C07" w:rsidRDefault="000D2DC1" w:rsidP="000D2DC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Снижение общего уровня заболеваемости населения</w:t>
            </w:r>
          </w:p>
          <w:p w14:paraId="791C4D19" w14:textId="77777777" w:rsidR="000D2DC1" w:rsidRPr="00851C07" w:rsidRDefault="000D2DC1" w:rsidP="000D2DC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</w:t>
            </w:r>
          </w:p>
          <w:p w14:paraId="4DC6BAAE" w14:textId="77777777" w:rsidR="000D2DC1" w:rsidRPr="00851C07" w:rsidRDefault="000D2DC1" w:rsidP="000D2DC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художественной самодеятельности</w:t>
            </w:r>
          </w:p>
          <w:p w14:paraId="5BF49620" w14:textId="77777777" w:rsidR="000D2DC1" w:rsidRPr="00851C07" w:rsidRDefault="000D2DC1" w:rsidP="000D2DC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в сфере традиционной народной культуры</w:t>
            </w:r>
          </w:p>
          <w:p w14:paraId="51303F90" w14:textId="77777777" w:rsidR="000D2DC1" w:rsidRPr="00851C07" w:rsidRDefault="000D2DC1" w:rsidP="000D2DC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фондов учреждений культуры и спорта</w:t>
            </w:r>
          </w:p>
        </w:tc>
        <w:tc>
          <w:tcPr>
            <w:tcW w:w="4673" w:type="dxa"/>
          </w:tcPr>
          <w:p w14:paraId="43034D68" w14:textId="77777777" w:rsidR="000D2DC1" w:rsidRPr="00851C07" w:rsidRDefault="000D2DC1" w:rsidP="000D2DC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Медленное </w:t>
            </w:r>
            <w:proofErr w:type="gramStart"/>
            <w:r w:rsidRPr="0085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 современных</w:t>
            </w:r>
            <w:proofErr w:type="gramEnd"/>
            <w:r w:rsidRPr="0085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в сфере досуга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, культурно-массовых мероприятий и спорта</w:t>
            </w:r>
          </w:p>
          <w:p w14:paraId="70BD5D4E" w14:textId="77777777" w:rsidR="000D2DC1" w:rsidRPr="00851C07" w:rsidRDefault="000D2DC1" w:rsidP="000D2DC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Рост стоимости платных услуг</w:t>
            </w:r>
          </w:p>
          <w:p w14:paraId="2BB160F7" w14:textId="614B8ABA" w:rsidR="000D2DC1" w:rsidRPr="00851C07" w:rsidRDefault="000D2DC1" w:rsidP="000D2DC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B22F3" w14:textId="77777777" w:rsidR="000D2DC1" w:rsidRDefault="000D2DC1" w:rsidP="000D2DC1">
      <w:pPr>
        <w:jc w:val="right"/>
      </w:pPr>
    </w:p>
    <w:sectPr w:rsidR="000D2DC1" w:rsidSect="00DD3CB0">
      <w:footerReference w:type="default" r:id="rId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0E64" w14:textId="77777777" w:rsidR="00DD3CB0" w:rsidRDefault="00DD3CB0" w:rsidP="00DD3CB0">
      <w:pPr>
        <w:spacing w:after="0" w:line="240" w:lineRule="auto"/>
      </w:pPr>
      <w:r>
        <w:separator/>
      </w:r>
    </w:p>
  </w:endnote>
  <w:endnote w:type="continuationSeparator" w:id="0">
    <w:p w14:paraId="6100E71D" w14:textId="77777777" w:rsidR="00DD3CB0" w:rsidRDefault="00DD3CB0" w:rsidP="00D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816977"/>
      <w:docPartObj>
        <w:docPartGallery w:val="Page Numbers (Bottom of Page)"/>
        <w:docPartUnique/>
      </w:docPartObj>
    </w:sdtPr>
    <w:sdtEndPr/>
    <w:sdtContent>
      <w:p w14:paraId="28D7801E" w14:textId="38B5B067" w:rsidR="00DD3CB0" w:rsidRDefault="00DD3C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C30F08B" w14:textId="77777777" w:rsidR="00DD3CB0" w:rsidRDefault="00DD3C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0FC9C" w14:textId="77777777" w:rsidR="00DD3CB0" w:rsidRDefault="00DD3CB0" w:rsidP="00DD3CB0">
      <w:pPr>
        <w:spacing w:after="0" w:line="240" w:lineRule="auto"/>
      </w:pPr>
      <w:r>
        <w:separator/>
      </w:r>
    </w:p>
  </w:footnote>
  <w:footnote w:type="continuationSeparator" w:id="0">
    <w:p w14:paraId="1F4F8505" w14:textId="77777777" w:rsidR="00DD3CB0" w:rsidRDefault="00DD3CB0" w:rsidP="00DD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0FF"/>
    <w:multiLevelType w:val="multilevel"/>
    <w:tmpl w:val="6ED8F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7CB29F8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5123"/>
    <w:multiLevelType w:val="hybridMultilevel"/>
    <w:tmpl w:val="395A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21B9"/>
    <w:multiLevelType w:val="multilevel"/>
    <w:tmpl w:val="CB38C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D1608AB"/>
    <w:multiLevelType w:val="hybridMultilevel"/>
    <w:tmpl w:val="768C431C"/>
    <w:lvl w:ilvl="0" w:tplc="C436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537FAE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74FF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319FA"/>
    <w:multiLevelType w:val="hybridMultilevel"/>
    <w:tmpl w:val="E528F38A"/>
    <w:lvl w:ilvl="0" w:tplc="0FC6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585C65"/>
    <w:multiLevelType w:val="hybridMultilevel"/>
    <w:tmpl w:val="B06EFEB0"/>
    <w:lvl w:ilvl="0" w:tplc="49B643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AF5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41A63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14DF"/>
    <w:multiLevelType w:val="hybridMultilevel"/>
    <w:tmpl w:val="B06EFEB0"/>
    <w:lvl w:ilvl="0" w:tplc="49B643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E3C6D"/>
    <w:multiLevelType w:val="multilevel"/>
    <w:tmpl w:val="C890F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83568"/>
    <w:multiLevelType w:val="multilevel"/>
    <w:tmpl w:val="14E03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64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3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B0E3713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A47CB"/>
    <w:multiLevelType w:val="hybridMultilevel"/>
    <w:tmpl w:val="E348CD46"/>
    <w:lvl w:ilvl="0" w:tplc="1CB83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EF6480"/>
    <w:multiLevelType w:val="hybridMultilevel"/>
    <w:tmpl w:val="923A3AD0"/>
    <w:lvl w:ilvl="0" w:tplc="0FAE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74627C"/>
    <w:multiLevelType w:val="hybridMultilevel"/>
    <w:tmpl w:val="C51A1E92"/>
    <w:lvl w:ilvl="0" w:tplc="7DBE4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34452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48BA"/>
    <w:multiLevelType w:val="hybridMultilevel"/>
    <w:tmpl w:val="B22CD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B42B40"/>
    <w:multiLevelType w:val="hybridMultilevel"/>
    <w:tmpl w:val="B06EFEB0"/>
    <w:lvl w:ilvl="0" w:tplc="49B643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75761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83A17"/>
    <w:multiLevelType w:val="hybridMultilevel"/>
    <w:tmpl w:val="395A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31038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4EF5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47450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571F9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43E8B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42CD9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823BE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73C4A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533F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455A7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644D4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7157F"/>
    <w:multiLevelType w:val="hybridMultilevel"/>
    <w:tmpl w:val="395A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534B7"/>
    <w:multiLevelType w:val="hybridMultilevel"/>
    <w:tmpl w:val="395A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2982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E6BA7"/>
    <w:multiLevelType w:val="hybridMultilevel"/>
    <w:tmpl w:val="B06EFEB0"/>
    <w:lvl w:ilvl="0" w:tplc="49B643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A3110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4"/>
  </w:num>
  <w:num w:numId="5">
    <w:abstractNumId w:val="19"/>
  </w:num>
  <w:num w:numId="6">
    <w:abstractNumId w:val="34"/>
  </w:num>
  <w:num w:numId="7">
    <w:abstractNumId w:val="14"/>
  </w:num>
  <w:num w:numId="8">
    <w:abstractNumId w:val="9"/>
  </w:num>
  <w:num w:numId="9">
    <w:abstractNumId w:val="30"/>
  </w:num>
  <w:num w:numId="10">
    <w:abstractNumId w:val="2"/>
  </w:num>
  <w:num w:numId="11">
    <w:abstractNumId w:val="31"/>
  </w:num>
  <w:num w:numId="12">
    <w:abstractNumId w:val="32"/>
  </w:num>
  <w:num w:numId="13">
    <w:abstractNumId w:val="6"/>
  </w:num>
  <w:num w:numId="14">
    <w:abstractNumId w:val="37"/>
  </w:num>
  <w:num w:numId="15">
    <w:abstractNumId w:val="18"/>
  </w:num>
  <w:num w:numId="16">
    <w:abstractNumId w:val="24"/>
  </w:num>
  <w:num w:numId="17">
    <w:abstractNumId w:val="29"/>
  </w:num>
  <w:num w:numId="18">
    <w:abstractNumId w:val="8"/>
  </w:num>
  <w:num w:numId="19">
    <w:abstractNumId w:val="27"/>
  </w:num>
  <w:num w:numId="20">
    <w:abstractNumId w:val="10"/>
  </w:num>
  <w:num w:numId="21">
    <w:abstractNumId w:val="36"/>
  </w:num>
  <w:num w:numId="22">
    <w:abstractNumId w:val="20"/>
  </w:num>
  <w:num w:numId="23">
    <w:abstractNumId w:val="26"/>
  </w:num>
  <w:num w:numId="24">
    <w:abstractNumId w:val="5"/>
  </w:num>
  <w:num w:numId="25">
    <w:abstractNumId w:val="11"/>
  </w:num>
  <w:num w:numId="26">
    <w:abstractNumId w:val="22"/>
  </w:num>
  <w:num w:numId="27">
    <w:abstractNumId w:val="23"/>
  </w:num>
  <w:num w:numId="28">
    <w:abstractNumId w:val="25"/>
  </w:num>
  <w:num w:numId="29">
    <w:abstractNumId w:val="28"/>
  </w:num>
  <w:num w:numId="30">
    <w:abstractNumId w:val="35"/>
  </w:num>
  <w:num w:numId="31">
    <w:abstractNumId w:val="1"/>
  </w:num>
  <w:num w:numId="32">
    <w:abstractNumId w:val="38"/>
  </w:num>
  <w:num w:numId="33">
    <w:abstractNumId w:val="0"/>
  </w:num>
  <w:num w:numId="34">
    <w:abstractNumId w:val="13"/>
  </w:num>
  <w:num w:numId="35">
    <w:abstractNumId w:val="3"/>
  </w:num>
  <w:num w:numId="36">
    <w:abstractNumId w:val="33"/>
  </w:num>
  <w:num w:numId="37">
    <w:abstractNumId w:val="21"/>
  </w:num>
  <w:num w:numId="38">
    <w:abstractNumId w:val="1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C1"/>
    <w:rsid w:val="00063556"/>
    <w:rsid w:val="000D2DC1"/>
    <w:rsid w:val="00456D20"/>
    <w:rsid w:val="00460B5D"/>
    <w:rsid w:val="00482C86"/>
    <w:rsid w:val="00513E70"/>
    <w:rsid w:val="00815D67"/>
    <w:rsid w:val="009819E6"/>
    <w:rsid w:val="00A20DD8"/>
    <w:rsid w:val="00A94160"/>
    <w:rsid w:val="00D833A6"/>
    <w:rsid w:val="00DD3CB0"/>
    <w:rsid w:val="00E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A3B3"/>
  <w15:chartTrackingRefBased/>
  <w15:docId w15:val="{BEAD3B17-A4D8-4EFA-8917-FE607B5E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D2DC1"/>
    <w:pPr>
      <w:keepNext/>
      <w:keepLines/>
      <w:spacing w:after="0" w:line="360" w:lineRule="auto"/>
      <w:ind w:left="720"/>
      <w:jc w:val="both"/>
      <w:outlineLvl w:val="0"/>
    </w:pPr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DC1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D2D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Заголовок_3,Варианты ответов,Таблицы нейминг,List Paragraph,Bullet 1,Use Case List Paragraph,Абзац списка1"/>
    <w:basedOn w:val="a"/>
    <w:link w:val="a5"/>
    <w:uiPriority w:val="34"/>
    <w:qFormat/>
    <w:rsid w:val="000D2DC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Заголовок_3 Знак,Варианты ответов Знак,Таблицы нейминг Знак,List Paragraph Знак,Bullet 1 Знак,Use Case List Paragraph Знак,Абзац списка1 Знак"/>
    <w:link w:val="a4"/>
    <w:uiPriority w:val="34"/>
    <w:locked/>
    <w:rsid w:val="000D2DC1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D2DC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D2DC1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0D2DC1"/>
    <w:rPr>
      <w:rFonts w:eastAsiaTheme="minorEastAsi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D3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3CB0"/>
  </w:style>
  <w:style w:type="paragraph" w:styleId="ab">
    <w:name w:val="footer"/>
    <w:basedOn w:val="a"/>
    <w:link w:val="ac"/>
    <w:uiPriority w:val="99"/>
    <w:unhideWhenUsed/>
    <w:rsid w:val="00DD3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Овсиевская Анна Геннадьевна</cp:lastModifiedBy>
  <cp:revision>4</cp:revision>
  <dcterms:created xsi:type="dcterms:W3CDTF">2023-06-19T13:03:00Z</dcterms:created>
  <dcterms:modified xsi:type="dcterms:W3CDTF">2023-06-29T13:47:00Z</dcterms:modified>
</cp:coreProperties>
</file>