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37" w:rsidRPr="00B62865" w:rsidRDefault="00307337" w:rsidP="006E7C35">
      <w:pPr>
        <w:spacing w:after="0" w:line="240" w:lineRule="auto"/>
        <w:ind w:left="49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865">
        <w:rPr>
          <w:rFonts w:ascii="Times New Roman" w:hAnsi="Times New Roman" w:cs="Times New Roman"/>
          <w:b/>
          <w:bCs/>
          <w:sz w:val="24"/>
          <w:szCs w:val="24"/>
        </w:rPr>
        <w:t>Приложение  24</w:t>
      </w:r>
    </w:p>
    <w:p w:rsidR="00307337" w:rsidRPr="00B62865" w:rsidRDefault="00307337" w:rsidP="006E7C3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4"/>
          <w:szCs w:val="24"/>
        </w:rPr>
      </w:pPr>
      <w:r w:rsidRPr="00B62865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307337" w:rsidRPr="00B62865" w:rsidRDefault="00307337" w:rsidP="006E7C3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4"/>
          <w:szCs w:val="24"/>
        </w:rPr>
      </w:pPr>
      <w:r w:rsidRPr="00B62865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307337" w:rsidRPr="00B62865" w:rsidRDefault="00307337" w:rsidP="006E7C3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4"/>
          <w:szCs w:val="24"/>
        </w:rPr>
      </w:pPr>
      <w:r w:rsidRPr="00B62865">
        <w:rPr>
          <w:rFonts w:ascii="Times New Roman" w:hAnsi="Times New Roman" w:cs="Times New Roman"/>
          <w:sz w:val="24"/>
          <w:szCs w:val="24"/>
        </w:rPr>
        <w:t xml:space="preserve">№  </w:t>
      </w:r>
      <w:r w:rsidR="006E7C35">
        <w:rPr>
          <w:rFonts w:ascii="Times New Roman" w:hAnsi="Times New Roman" w:cs="Times New Roman"/>
          <w:sz w:val="24"/>
          <w:szCs w:val="24"/>
        </w:rPr>
        <w:t>378</w:t>
      </w:r>
      <w:r w:rsidRPr="00B62865">
        <w:rPr>
          <w:rFonts w:ascii="Times New Roman" w:hAnsi="Times New Roman" w:cs="Times New Roman"/>
          <w:sz w:val="24"/>
          <w:szCs w:val="24"/>
        </w:rPr>
        <w:t xml:space="preserve"> от</w:t>
      </w:r>
      <w:r w:rsidR="003738FA">
        <w:rPr>
          <w:rFonts w:ascii="Times New Roman" w:hAnsi="Times New Roman" w:cs="Times New Roman"/>
          <w:sz w:val="24"/>
          <w:szCs w:val="24"/>
        </w:rPr>
        <w:t xml:space="preserve"> 25 апреля</w:t>
      </w:r>
      <w:r w:rsidRPr="00B62865">
        <w:rPr>
          <w:rFonts w:ascii="Times New Roman" w:hAnsi="Times New Roman" w:cs="Times New Roman"/>
          <w:sz w:val="24"/>
          <w:szCs w:val="24"/>
        </w:rPr>
        <w:t xml:space="preserve">  2014  года</w:t>
      </w:r>
    </w:p>
    <w:p w:rsidR="00307337" w:rsidRDefault="00307337" w:rsidP="006E7C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60"/>
      <w:bookmarkEnd w:id="0"/>
      <w:r w:rsidRPr="007F18C8">
        <w:rPr>
          <w:rFonts w:ascii="Times New Roman" w:hAnsi="Times New Roman" w:cs="Times New Roman"/>
          <w:b/>
          <w:bCs/>
          <w:sz w:val="28"/>
          <w:szCs w:val="28"/>
        </w:rPr>
        <w:t>ПОРЯДОК И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>РАСПРЕДЕЛЕНИЯ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 xml:space="preserve">РАСХОДОВАНИЯ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>НА ОБЕСПЕЧЕНИЕ ВЫПЛАТ СТИМУЛИРУЮЩЕГО ХАРАКТЕРА РАБОТНИКАМ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18C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УЧРЕЖДЕНИЙ КУЛЬТУРЫ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 ГАТЧИНСКОГО МУНИЦИПАЛЬНОГО РАЙОНА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 и условия предоставления из бюджета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бюджетам </w:t>
      </w:r>
      <w:r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Pr="007F1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7F18C8">
        <w:rPr>
          <w:rFonts w:ascii="Times New Roman" w:hAnsi="Times New Roman" w:cs="Times New Roman"/>
          <w:sz w:val="28"/>
          <w:szCs w:val="28"/>
        </w:rPr>
        <w:t xml:space="preserve">Ленинградской области на обеспечение выплат стимулирующего характера работникам муниципальных учреждений культуры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Гатчинского муниципального района </w:t>
      </w:r>
      <w:r w:rsidRPr="007F18C8">
        <w:rPr>
          <w:rFonts w:ascii="Times New Roman" w:hAnsi="Times New Roman" w:cs="Times New Roman"/>
          <w:sz w:val="28"/>
          <w:szCs w:val="28"/>
        </w:rPr>
        <w:t xml:space="preserve">Ленинградской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1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7F18C8">
        <w:rPr>
          <w:rFonts w:ascii="Times New Roman" w:hAnsi="Times New Roman" w:cs="Times New Roman"/>
          <w:sz w:val="28"/>
          <w:szCs w:val="28"/>
        </w:rPr>
        <w:t>).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7F18C8">
        <w:rPr>
          <w:rFonts w:ascii="Times New Roman" w:hAnsi="Times New Roman" w:cs="Times New Roman"/>
          <w:sz w:val="28"/>
          <w:szCs w:val="28"/>
        </w:rPr>
        <w:t xml:space="preserve"> предоставляются в целях сохранения квалифицированных кадров и стимулирования к повышению эффективности и качества предоставляемых услуг муниципальных учреждений культуры в зависимости от квалификации работника, сложности выполняемой работы, количества и качества затраченного труда с учетом показателей и критериев оценки эффективности труда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3. Критерием отбора муниципальных образований для предоставления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является наличие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городского (сельского) поселения </w:t>
      </w:r>
      <w:r w:rsidRPr="007F18C8">
        <w:rPr>
          <w:rFonts w:ascii="Times New Roman" w:hAnsi="Times New Roman" w:cs="Times New Roman"/>
          <w:sz w:val="28"/>
          <w:szCs w:val="28"/>
        </w:rPr>
        <w:t>муниципальных учреждений (структурных подразделений муниципальных учреждений), предоставляющих услуги в сфере культуры.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4. Условием предоставления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является обязательство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городского (сельского) поселения </w:t>
      </w:r>
      <w:r w:rsidRPr="007F18C8">
        <w:rPr>
          <w:rFonts w:ascii="Times New Roman" w:hAnsi="Times New Roman" w:cs="Times New Roman"/>
          <w:sz w:val="28"/>
          <w:szCs w:val="28"/>
        </w:rPr>
        <w:t xml:space="preserve">по обеспечению соответствия значений показателей, устанавливаемых нормативными правовыми актами органов местного самоуправления, значениям показателей результативности использования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, установленным соглашением между </w:t>
      </w:r>
      <w:r>
        <w:rPr>
          <w:rFonts w:ascii="Times New Roman" w:hAnsi="Times New Roman" w:cs="Times New Roman"/>
          <w:sz w:val="28"/>
          <w:szCs w:val="28"/>
        </w:rPr>
        <w:t>комитетом финансов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и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городского (сельского) поселения </w:t>
      </w:r>
      <w:r w:rsidRPr="007F18C8">
        <w:rPr>
          <w:rFonts w:ascii="Times New Roman" w:hAnsi="Times New Roman" w:cs="Times New Roman"/>
          <w:sz w:val="28"/>
          <w:szCs w:val="28"/>
        </w:rPr>
        <w:t>об осуществлении денежных выплат работникам муниципальных учреждений культуры (далее - соглашение) и настоящим Порядком</w:t>
      </w:r>
      <w:r>
        <w:rPr>
          <w:rFonts w:ascii="Times New Roman" w:hAnsi="Times New Roman" w:cs="Times New Roman"/>
          <w:sz w:val="28"/>
          <w:szCs w:val="28"/>
        </w:rPr>
        <w:t xml:space="preserve">, а также соотношения штатной численности работников основного и прочего персонала муниципальных учреждений культуры не менее 60 процентов и установления расчетной величины для расчета должностных окладов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работников в размере не менее установленного областным законом об областном бюджете на текущий финансовый год.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5.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 xml:space="preserve">городского (сельского) поселения </w:t>
      </w:r>
      <w:r w:rsidRPr="007F18C8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337" w:rsidRPr="007F18C8" w:rsidRDefault="00DF6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Полотно 4" o:spid="_x0000_s1026" editas="canvas" style="width:207pt;height:36.3pt;mso-position-horizontal-relative:char;mso-position-vertical-relative:line" coordsize="26289,46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6289;height:4610;visibility:visible">
              <v:fill o:detectmouseclick="t"/>
              <v:path o:connecttype="none"/>
            </v:shape>
            <v:rect id="Rectangle 10" o:spid="_x0000_s1028" style="position:absolute;left:990;top:990;width:248;height:2445;visibility:visible;mso-wrap-style:none" filled="f" stroked="f">
              <v:textbox style="mso-next-textbox:#Rectangle 10;mso-fit-shape-to-text:t" inset="0,0,0,0">
                <w:txbxContent>
                  <w:p w:rsidR="00307337" w:rsidRDefault="00307337"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11" o:spid="_x0000_s1029" style="position:absolute;left:3429;top:1143;width:10287;height:3467;visibility:visible" filled="f" stroked="f">
              <v:textbox style="mso-next-textbox:#Rectangle 11" inset="0,0,0,0">
                <w:txbxContent>
                  <w:p w:rsidR="00307337" w:rsidRDefault="00307337"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</w:rPr>
                      <w:t xml:space="preserve"> ц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  <w:lang w:val="en-US"/>
                      </w:rPr>
                      <w:t>ел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</w:rPr>
                      <w:t xml:space="preserve">         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  <w:lang w:val="en-US"/>
                      </w:rPr>
                      <w:t>12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14"/>
                        <w:szCs w:val="14"/>
                        <w:lang w:val="en-US"/>
                      </w:rPr>
                      <w:t>штi</w:t>
                    </w:r>
                  </w:p>
                </w:txbxContent>
              </v:textbox>
            </v:rect>
            <v:rect id="Rectangle 12" o:spid="_x0000_s1030" style="position:absolute;width:26289;height:3429;flip:y;visibility:visible" filled="f" stroked="f">
              <v:textbox style="mso-next-textbox:#Rectangle 12" inset="0,0,0,0">
                <w:txbxContent>
                  <w:p w:rsidR="00307337" w:rsidRDefault="00307337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S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 =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(C 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 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– C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 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 xml:space="preserve">) × N 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  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× 12 × K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</w:t>
                    </w:r>
                    <w:r w:rsidRPr="00EE67A2">
                      <w:rPr>
                        <w:rFonts w:ascii="Times New Roman" w:hAnsi="Times New Roman" w:cs="Times New Roman"/>
                        <w:color w:val="000000"/>
                      </w:rPr>
                      <w:t>×</w:t>
                    </w: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 0,06 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,</w:t>
                    </w:r>
                  </w:p>
                </w:txbxContent>
              </v:textbox>
            </v:rect>
            <w10:anchorlock/>
          </v:group>
        </w:pic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где:</w:t>
      </w:r>
    </w:p>
    <w:p w:rsidR="00307337" w:rsidRPr="007F18C8" w:rsidRDefault="00DF6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A94">
        <w:rPr>
          <w:rFonts w:ascii="Times New Roman" w:hAnsi="Times New Roman" w:cs="Times New Roman"/>
          <w:position w:val="-8"/>
          <w:sz w:val="28"/>
          <w:szCs w:val="28"/>
        </w:rPr>
        <w:pict>
          <v:shape id="_x0000_i1026" type="#_x0000_t75" style="width:9.2pt;height:17.6pt">
            <v:imagedata r:id="rId7" o:title=""/>
          </v:shape>
        </w:pict>
      </w:r>
      <w:r w:rsidR="00307337" w:rsidRPr="007F18C8">
        <w:rPr>
          <w:rFonts w:ascii="Times New Roman" w:hAnsi="Times New Roman" w:cs="Times New Roman"/>
          <w:sz w:val="28"/>
          <w:szCs w:val="28"/>
        </w:rPr>
        <w:t xml:space="preserve"> - размер </w:t>
      </w:r>
      <w:r w:rsidR="00307337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307337" w:rsidRPr="007F18C8">
        <w:rPr>
          <w:rFonts w:ascii="Times New Roman" w:hAnsi="Times New Roman" w:cs="Times New Roman"/>
          <w:sz w:val="28"/>
          <w:szCs w:val="28"/>
        </w:rPr>
        <w:t xml:space="preserve"> бюджету i-го муниципального образования;</w:t>
      </w:r>
    </w:p>
    <w:p w:rsidR="00307337" w:rsidRPr="007F18C8" w:rsidRDefault="00DF6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A94">
        <w:rPr>
          <w:rFonts w:ascii="Times New Roman" w:hAnsi="Times New Roman" w:cs="Times New Roman"/>
          <w:position w:val="-8"/>
          <w:sz w:val="28"/>
          <w:szCs w:val="28"/>
        </w:rPr>
        <w:pict>
          <v:shape id="_x0000_i1027" type="#_x0000_t75" style="width:21.75pt;height:17.6pt">
            <v:imagedata r:id="rId8" o:title=""/>
          </v:shape>
        </w:pict>
      </w:r>
      <w:r w:rsidR="00307337" w:rsidRPr="007F18C8">
        <w:rPr>
          <w:rFonts w:ascii="Times New Roman" w:hAnsi="Times New Roman" w:cs="Times New Roman"/>
          <w:sz w:val="28"/>
          <w:szCs w:val="28"/>
        </w:rPr>
        <w:t xml:space="preserve"> - целевое значение показателя повышения заработной платы работников учреждений культуры, утвержденное </w:t>
      </w:r>
      <w:hyperlink r:id="rId9" w:history="1">
        <w:r w:rsidR="00307337" w:rsidRPr="00EE67A2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307337" w:rsidRPr="007F18C8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29 апреля 2013 года </w:t>
      </w:r>
      <w:r w:rsidR="00307337">
        <w:rPr>
          <w:rFonts w:ascii="Times New Roman" w:hAnsi="Times New Roman" w:cs="Times New Roman"/>
          <w:sz w:val="28"/>
          <w:szCs w:val="28"/>
        </w:rPr>
        <w:t>№</w:t>
      </w:r>
      <w:r w:rsidR="00307337" w:rsidRPr="007F18C8">
        <w:rPr>
          <w:rFonts w:ascii="Times New Roman" w:hAnsi="Times New Roman" w:cs="Times New Roman"/>
          <w:sz w:val="28"/>
          <w:szCs w:val="28"/>
        </w:rPr>
        <w:t xml:space="preserve"> 181-р </w:t>
      </w:r>
      <w:r w:rsidR="00307337">
        <w:rPr>
          <w:rFonts w:ascii="Times New Roman" w:hAnsi="Times New Roman" w:cs="Times New Roman"/>
          <w:sz w:val="28"/>
          <w:szCs w:val="28"/>
        </w:rPr>
        <w:t>«</w:t>
      </w:r>
      <w:r w:rsidR="00307337" w:rsidRPr="007F18C8">
        <w:rPr>
          <w:rFonts w:ascii="Times New Roman" w:hAnsi="Times New Roman" w:cs="Times New Roman"/>
          <w:sz w:val="28"/>
          <w:szCs w:val="28"/>
        </w:rPr>
        <w:t>О мерах по поэтапному повышению заработной платы работников учреждений культуры Ленинградской области и утверждении Плана мероприятий (</w:t>
      </w:r>
      <w:r w:rsidR="00307337">
        <w:rPr>
          <w:rFonts w:ascii="Times New Roman" w:hAnsi="Times New Roman" w:cs="Times New Roman"/>
          <w:sz w:val="28"/>
          <w:szCs w:val="28"/>
        </w:rPr>
        <w:t>«</w:t>
      </w:r>
      <w:r w:rsidR="00307337" w:rsidRPr="007F18C8">
        <w:rPr>
          <w:rFonts w:ascii="Times New Roman" w:hAnsi="Times New Roman" w:cs="Times New Roman"/>
          <w:sz w:val="28"/>
          <w:szCs w:val="28"/>
        </w:rPr>
        <w:t>дорожной карты</w:t>
      </w:r>
      <w:r w:rsidR="00307337">
        <w:rPr>
          <w:rFonts w:ascii="Times New Roman" w:hAnsi="Times New Roman" w:cs="Times New Roman"/>
          <w:sz w:val="28"/>
          <w:szCs w:val="28"/>
        </w:rPr>
        <w:t>»</w:t>
      </w:r>
      <w:r w:rsidR="00307337" w:rsidRPr="007F18C8">
        <w:rPr>
          <w:rFonts w:ascii="Times New Roman" w:hAnsi="Times New Roman" w:cs="Times New Roman"/>
          <w:sz w:val="28"/>
          <w:szCs w:val="28"/>
        </w:rPr>
        <w:t>) по повышению эффективности сферы культуры и совершенствованию оплаты труда работников учреждений культуры Ленинградской области</w:t>
      </w:r>
      <w:r w:rsidR="00307337">
        <w:rPr>
          <w:rFonts w:ascii="Times New Roman" w:hAnsi="Times New Roman" w:cs="Times New Roman"/>
          <w:sz w:val="28"/>
          <w:szCs w:val="28"/>
        </w:rPr>
        <w:t>»</w:t>
      </w:r>
      <w:r w:rsidR="00307337" w:rsidRPr="007F18C8">
        <w:rPr>
          <w:rFonts w:ascii="Times New Roman" w:hAnsi="Times New Roman" w:cs="Times New Roman"/>
          <w:sz w:val="28"/>
          <w:szCs w:val="28"/>
        </w:rPr>
        <w:t>;</w:t>
      </w:r>
    </w:p>
    <w:p w:rsidR="00307337" w:rsidRPr="006243B7" w:rsidRDefault="00DF6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A94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17.6pt;height:17.6pt">
            <v:imagedata r:id="rId10" o:title=""/>
          </v:shape>
        </w:pict>
      </w:r>
      <w:r w:rsidR="00307337" w:rsidRPr="006243B7">
        <w:rPr>
          <w:rFonts w:ascii="Times New Roman" w:hAnsi="Times New Roman" w:cs="Times New Roman"/>
          <w:sz w:val="28"/>
          <w:szCs w:val="28"/>
        </w:rPr>
        <w:t xml:space="preserve"> - значение показателя заработной платы работников учреждений культуры, утвержденное </w:t>
      </w:r>
      <w:hyperlink r:id="rId11" w:history="1">
        <w:r w:rsidR="00307337" w:rsidRPr="006243B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распоряжением</w:t>
        </w:r>
      </w:hyperlink>
      <w:r w:rsidR="00307337" w:rsidRPr="006243B7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29 апреля 2013 года </w:t>
      </w:r>
      <w:r w:rsidR="00307337">
        <w:rPr>
          <w:rFonts w:ascii="Times New Roman" w:hAnsi="Times New Roman" w:cs="Times New Roman"/>
          <w:sz w:val="28"/>
          <w:szCs w:val="28"/>
        </w:rPr>
        <w:t>№</w:t>
      </w:r>
      <w:r w:rsidR="00307337" w:rsidRPr="006243B7">
        <w:rPr>
          <w:rFonts w:ascii="Times New Roman" w:hAnsi="Times New Roman" w:cs="Times New Roman"/>
          <w:sz w:val="28"/>
          <w:szCs w:val="28"/>
        </w:rPr>
        <w:t xml:space="preserve"> 181-р </w:t>
      </w:r>
      <w:r w:rsidR="00307337">
        <w:rPr>
          <w:rFonts w:ascii="Times New Roman" w:hAnsi="Times New Roman" w:cs="Times New Roman"/>
          <w:sz w:val="28"/>
          <w:szCs w:val="28"/>
        </w:rPr>
        <w:t>«</w:t>
      </w:r>
      <w:r w:rsidR="00307337" w:rsidRPr="006243B7">
        <w:rPr>
          <w:rFonts w:ascii="Times New Roman" w:hAnsi="Times New Roman" w:cs="Times New Roman"/>
          <w:sz w:val="28"/>
          <w:szCs w:val="28"/>
        </w:rPr>
        <w:t>О мерах по поэтапному повышению заработной платы работников учреждений культуры Ленинградской области и утверждении Плана мероприятий (</w:t>
      </w:r>
      <w:r w:rsidR="00307337">
        <w:rPr>
          <w:rFonts w:ascii="Times New Roman" w:hAnsi="Times New Roman" w:cs="Times New Roman"/>
          <w:sz w:val="28"/>
          <w:szCs w:val="28"/>
        </w:rPr>
        <w:t>«</w:t>
      </w:r>
      <w:r w:rsidR="00307337" w:rsidRPr="006243B7">
        <w:rPr>
          <w:rFonts w:ascii="Times New Roman" w:hAnsi="Times New Roman" w:cs="Times New Roman"/>
          <w:sz w:val="28"/>
          <w:szCs w:val="28"/>
        </w:rPr>
        <w:t>дорожной карты</w:t>
      </w:r>
      <w:r w:rsidR="00307337">
        <w:rPr>
          <w:rFonts w:ascii="Times New Roman" w:hAnsi="Times New Roman" w:cs="Times New Roman"/>
          <w:sz w:val="28"/>
          <w:szCs w:val="28"/>
        </w:rPr>
        <w:t>»</w:t>
      </w:r>
      <w:r w:rsidR="00307337" w:rsidRPr="006243B7">
        <w:rPr>
          <w:rFonts w:ascii="Times New Roman" w:hAnsi="Times New Roman" w:cs="Times New Roman"/>
          <w:sz w:val="28"/>
          <w:szCs w:val="28"/>
        </w:rPr>
        <w:t>) по повышению эффективности сферы культуры и совершенствованию оплаты труда работников учреждений культуры Ленинградской области</w:t>
      </w:r>
      <w:r w:rsidR="00307337">
        <w:rPr>
          <w:rFonts w:ascii="Times New Roman" w:hAnsi="Times New Roman" w:cs="Times New Roman"/>
          <w:sz w:val="28"/>
          <w:szCs w:val="28"/>
        </w:rPr>
        <w:t xml:space="preserve">» </w:t>
      </w:r>
      <w:r w:rsidR="00307337" w:rsidRPr="006243B7">
        <w:rPr>
          <w:rFonts w:ascii="Times New Roman" w:hAnsi="Times New Roman" w:cs="Times New Roman"/>
          <w:sz w:val="28"/>
          <w:szCs w:val="28"/>
        </w:rPr>
        <w:t>за 2012 год;</w:t>
      </w:r>
    </w:p>
    <w:p w:rsidR="00307337" w:rsidRPr="007F18C8" w:rsidRDefault="00DF6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6A94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4.3pt;height:17.6pt">
            <v:imagedata r:id="rId12" o:title=""/>
          </v:shape>
        </w:pict>
      </w:r>
      <w:r w:rsidR="00307337" w:rsidRPr="006243B7">
        <w:rPr>
          <w:rFonts w:ascii="Times New Roman" w:hAnsi="Times New Roman" w:cs="Times New Roman"/>
          <w:sz w:val="28"/>
          <w:szCs w:val="28"/>
        </w:rPr>
        <w:t xml:space="preserve"> - количество штатных единиц работников административно</w:t>
      </w:r>
      <w:r w:rsidR="00307337">
        <w:rPr>
          <w:rFonts w:ascii="Times New Roman" w:hAnsi="Times New Roman" w:cs="Times New Roman"/>
          <w:sz w:val="28"/>
          <w:szCs w:val="28"/>
        </w:rPr>
        <w:t xml:space="preserve">-управленческого и основного персонала </w:t>
      </w:r>
      <w:r w:rsidR="00307337" w:rsidRPr="007F18C8">
        <w:rPr>
          <w:rFonts w:ascii="Times New Roman" w:hAnsi="Times New Roman" w:cs="Times New Roman"/>
          <w:sz w:val="28"/>
          <w:szCs w:val="28"/>
        </w:rPr>
        <w:t>муниципальных учреждений культуры i-го муниципального образования;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12 - количество месяцев;</w:t>
      </w:r>
    </w:p>
    <w:p w:rsidR="00307337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K - размер страховых взносов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0,06 – объем софинансирования расходных обязательств бюджетов муниципальных образований из бюджета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>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7F18C8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бюджете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на текущий финансовый год.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7. Перечисление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осуществляется комитетом финансов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на счета главных администраторов доходов бюджетов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городских (сельских) поселений</w:t>
      </w:r>
      <w:r w:rsidRPr="007F18C8">
        <w:rPr>
          <w:rFonts w:ascii="Times New Roman" w:hAnsi="Times New Roman" w:cs="Times New Roman"/>
          <w:sz w:val="28"/>
          <w:szCs w:val="28"/>
        </w:rPr>
        <w:t>, открытые в территориальных отделениях Управления Федерального казначейства по Ленинградской области.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8. Ответственность за своевременное перечисление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несет комитет </w:t>
      </w:r>
      <w:r>
        <w:rPr>
          <w:rFonts w:ascii="Times New Roman" w:hAnsi="Times New Roman" w:cs="Times New Roman"/>
          <w:sz w:val="28"/>
          <w:szCs w:val="28"/>
        </w:rPr>
        <w:t>финансов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>.</w:t>
      </w:r>
    </w:p>
    <w:p w:rsidR="00307337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7F18C8">
        <w:rPr>
          <w:rFonts w:ascii="Times New Roman" w:hAnsi="Times New Roman" w:cs="Times New Roman"/>
          <w:sz w:val="28"/>
          <w:szCs w:val="28"/>
        </w:rPr>
        <w:t xml:space="preserve"> предо</w:t>
      </w:r>
      <w:r>
        <w:rPr>
          <w:rFonts w:ascii="Times New Roman" w:hAnsi="Times New Roman" w:cs="Times New Roman"/>
          <w:sz w:val="28"/>
          <w:szCs w:val="28"/>
        </w:rPr>
        <w:t>ставляются при условии: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>а) наличи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776">
        <w:rPr>
          <w:rFonts w:ascii="Times New Roman" w:hAnsi="Times New Roman" w:cs="Times New Roman"/>
          <w:sz w:val="28"/>
          <w:szCs w:val="28"/>
        </w:rPr>
        <w:t xml:space="preserve"> муниципального правового акта, устанавливающего расходное обязательство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городского (сельского) поселения </w:t>
      </w:r>
      <w:r w:rsidRPr="001D7776">
        <w:rPr>
          <w:rFonts w:ascii="Times New Roman" w:hAnsi="Times New Roman" w:cs="Times New Roman"/>
          <w:sz w:val="28"/>
          <w:szCs w:val="28"/>
        </w:rPr>
        <w:t>и предусматривающего размеры его финансирования;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>б) наличи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776">
        <w:rPr>
          <w:rFonts w:ascii="Times New Roman" w:hAnsi="Times New Roman" w:cs="Times New Roman"/>
          <w:sz w:val="28"/>
          <w:szCs w:val="28"/>
        </w:rPr>
        <w:t xml:space="preserve"> утвержденных в бюджете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</w:t>
      </w:r>
      <w:r w:rsidRPr="001D7776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соответствующих расходных обязательств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</w:t>
      </w:r>
      <w:r w:rsidRPr="001D7776">
        <w:rPr>
          <w:rFonts w:ascii="Times New Roman" w:hAnsi="Times New Roman" w:cs="Times New Roman"/>
          <w:sz w:val="28"/>
          <w:szCs w:val="28"/>
        </w:rPr>
        <w:t>;</w:t>
      </w:r>
    </w:p>
    <w:p w:rsidR="00307337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>в) наличи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776">
        <w:rPr>
          <w:rFonts w:ascii="Times New Roman" w:hAnsi="Times New Roman" w:cs="Times New Roman"/>
          <w:sz w:val="28"/>
          <w:szCs w:val="28"/>
        </w:rPr>
        <w:t xml:space="preserve"> заключенного между </w:t>
      </w:r>
      <w:r>
        <w:rPr>
          <w:rFonts w:ascii="Times New Roman" w:hAnsi="Times New Roman" w:cs="Times New Roman"/>
          <w:sz w:val="28"/>
          <w:szCs w:val="28"/>
        </w:rPr>
        <w:t>комитетом финансов Гатчинского муниципального района</w:t>
      </w:r>
      <w:r w:rsidRPr="001D7776"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городского (сельского) поселения</w:t>
      </w:r>
      <w:r w:rsidRPr="001D7776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трансфертов.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>Форма соглашения утверждается 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D7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 Гатчинского</w:t>
      </w:r>
      <w:r w:rsidRPr="001D7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D7776">
        <w:rPr>
          <w:rFonts w:ascii="Times New Roman" w:hAnsi="Times New Roman" w:cs="Times New Roman"/>
          <w:sz w:val="28"/>
          <w:szCs w:val="28"/>
        </w:rPr>
        <w:t>и предусматривает: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 xml:space="preserve">целевое назначение, сроки, условия предоставления и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D7776">
        <w:rPr>
          <w:rFonts w:ascii="Times New Roman" w:hAnsi="Times New Roman" w:cs="Times New Roman"/>
          <w:sz w:val="28"/>
          <w:szCs w:val="28"/>
        </w:rPr>
        <w:t>;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 xml:space="preserve">сроки и форму представления получателями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D7776">
        <w:rPr>
          <w:rFonts w:ascii="Times New Roman" w:hAnsi="Times New Roman" w:cs="Times New Roman"/>
          <w:sz w:val="28"/>
          <w:szCs w:val="28"/>
        </w:rPr>
        <w:t xml:space="preserve"> отчета о выполнении соглашения;</w:t>
      </w:r>
    </w:p>
    <w:p w:rsidR="00307337" w:rsidRPr="001D7776" w:rsidRDefault="00307337" w:rsidP="001D7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776">
        <w:rPr>
          <w:rFonts w:ascii="Times New Roman" w:hAnsi="Times New Roman" w:cs="Times New Roman"/>
          <w:sz w:val="28"/>
          <w:szCs w:val="28"/>
        </w:rPr>
        <w:t xml:space="preserve">порядок перечисления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D7776">
        <w:rPr>
          <w:rFonts w:ascii="Times New Roman" w:hAnsi="Times New Roman" w:cs="Times New Roman"/>
          <w:sz w:val="28"/>
          <w:szCs w:val="28"/>
        </w:rPr>
        <w:t xml:space="preserve"> и право </w:t>
      </w:r>
      <w:r>
        <w:rPr>
          <w:rFonts w:ascii="Times New Roman" w:hAnsi="Times New Roman" w:cs="Times New Roman"/>
          <w:sz w:val="28"/>
          <w:szCs w:val="28"/>
        </w:rPr>
        <w:t>комитета финансов</w:t>
      </w:r>
      <w:r w:rsidRPr="001D7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1D7776">
        <w:rPr>
          <w:rFonts w:ascii="Times New Roman" w:hAnsi="Times New Roman" w:cs="Times New Roman"/>
          <w:sz w:val="28"/>
          <w:szCs w:val="28"/>
        </w:rPr>
        <w:t xml:space="preserve">на проведение проверок соблюдения получателями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D7776">
        <w:rPr>
          <w:rFonts w:ascii="Times New Roman" w:hAnsi="Times New Roman" w:cs="Times New Roman"/>
          <w:sz w:val="28"/>
          <w:szCs w:val="28"/>
        </w:rPr>
        <w:t xml:space="preserve"> условий, установленных н</w:t>
      </w:r>
      <w:r>
        <w:rPr>
          <w:rFonts w:ascii="Times New Roman" w:hAnsi="Times New Roman" w:cs="Times New Roman"/>
          <w:sz w:val="28"/>
          <w:szCs w:val="28"/>
        </w:rPr>
        <w:t>астоящим Порядком и соглашением.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F18C8">
        <w:rPr>
          <w:rFonts w:ascii="Times New Roman" w:hAnsi="Times New Roman" w:cs="Times New Roman"/>
          <w:sz w:val="28"/>
          <w:szCs w:val="28"/>
        </w:rPr>
        <w:t>. Органы местного самоуправления</w:t>
      </w:r>
      <w:r w:rsidRPr="00214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(сельского) поселения</w:t>
      </w:r>
      <w:r w:rsidRPr="007F18C8">
        <w:rPr>
          <w:rFonts w:ascii="Times New Roman" w:hAnsi="Times New Roman" w:cs="Times New Roman"/>
          <w:sz w:val="28"/>
          <w:szCs w:val="28"/>
        </w:rPr>
        <w:t>: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на основании доведенных уведомлений по расчетам между бюджетами на суммы бюджетных ассигнований на текущий финансовый год в установленном порядке осуществляют учет средств в доходной и расходной частях бюджета муниципального образования;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ежеквартально не позднее 10-го числа месяца, следующего за отчетным периодом, представляют в комитет </w:t>
      </w:r>
      <w:r>
        <w:rPr>
          <w:rFonts w:ascii="Times New Roman" w:hAnsi="Times New Roman" w:cs="Times New Roman"/>
          <w:sz w:val="28"/>
          <w:szCs w:val="28"/>
        </w:rPr>
        <w:t>финансов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отчет о расходовании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по форме, установленной соглашением, за подписью главы администрации муниципального образования</w:t>
      </w:r>
      <w:r w:rsidRPr="00214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(сельского) поселения</w:t>
      </w:r>
      <w:r w:rsidRPr="007F18C8">
        <w:rPr>
          <w:rFonts w:ascii="Times New Roman" w:hAnsi="Times New Roman" w:cs="Times New Roman"/>
          <w:sz w:val="28"/>
          <w:szCs w:val="28"/>
        </w:rPr>
        <w:t>, руководителя финансового органа</w:t>
      </w:r>
      <w:r>
        <w:rPr>
          <w:rFonts w:ascii="Times New Roman" w:hAnsi="Times New Roman" w:cs="Times New Roman"/>
          <w:sz w:val="28"/>
          <w:szCs w:val="28"/>
        </w:rPr>
        <w:t xml:space="preserve"> (главного бухгалтера)</w:t>
      </w:r>
      <w:r w:rsidRPr="007F18C8">
        <w:rPr>
          <w:rFonts w:ascii="Times New Roman" w:hAnsi="Times New Roman" w:cs="Times New Roman"/>
          <w:sz w:val="28"/>
          <w:szCs w:val="28"/>
        </w:rPr>
        <w:t xml:space="preserve">. При неиспользовании за отчетный период выделенных из бюджета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 xml:space="preserve"> средств к отчету прилагается пояснительная записка с указанием причин;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несут ответственность за соблюдение настоящего Порядка, а также достоверность представляемых сведений.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F18C8">
        <w:rPr>
          <w:rFonts w:ascii="Times New Roman" w:hAnsi="Times New Roman" w:cs="Times New Roman"/>
          <w:sz w:val="28"/>
          <w:szCs w:val="28"/>
        </w:rPr>
        <w:t xml:space="preserve">. Остатки не использованных в текущем финансовом году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подлежат возврату в установленном порядке в доход бюджета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>.</w:t>
      </w:r>
    </w:p>
    <w:p w:rsidR="00307337" w:rsidRPr="007F18C8" w:rsidRDefault="003073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8C8">
        <w:rPr>
          <w:rFonts w:ascii="Times New Roman" w:hAnsi="Times New Roman" w:cs="Times New Roman"/>
          <w:sz w:val="28"/>
          <w:szCs w:val="28"/>
        </w:rPr>
        <w:t xml:space="preserve">14. Контроль за целевым использованием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18C8">
        <w:rPr>
          <w:rFonts w:ascii="Times New Roman" w:hAnsi="Times New Roman" w:cs="Times New Roman"/>
          <w:sz w:val="28"/>
          <w:szCs w:val="28"/>
        </w:rPr>
        <w:t xml:space="preserve"> осуществляется комитетом </w:t>
      </w:r>
      <w:r>
        <w:rPr>
          <w:rFonts w:ascii="Times New Roman" w:hAnsi="Times New Roman" w:cs="Times New Roman"/>
          <w:sz w:val="28"/>
          <w:szCs w:val="28"/>
        </w:rPr>
        <w:t>финансов Гатчинского муниципального района</w:t>
      </w:r>
      <w:r w:rsidRPr="007F18C8">
        <w:rPr>
          <w:rFonts w:ascii="Times New Roman" w:hAnsi="Times New Roman" w:cs="Times New Roman"/>
          <w:sz w:val="28"/>
          <w:szCs w:val="28"/>
        </w:rPr>
        <w:t>.</w:t>
      </w:r>
    </w:p>
    <w:sectPr w:rsidR="00307337" w:rsidRPr="007F18C8" w:rsidSect="007F18C8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296" w:rsidRDefault="00266296" w:rsidP="00C75E84">
      <w:pPr>
        <w:spacing w:after="0" w:line="240" w:lineRule="auto"/>
      </w:pPr>
      <w:r>
        <w:separator/>
      </w:r>
    </w:p>
  </w:endnote>
  <w:endnote w:type="continuationSeparator" w:id="0">
    <w:p w:rsidR="00266296" w:rsidRDefault="00266296" w:rsidP="00C7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37" w:rsidRPr="00C75E84" w:rsidRDefault="00307337">
    <w:pPr>
      <w:pStyle w:val="a9"/>
      <w:rPr>
        <w:rFonts w:ascii="Times New Roman" w:hAnsi="Times New Roman" w:cs="Times New Roman"/>
      </w:rPr>
    </w:pPr>
  </w:p>
  <w:p w:rsidR="00307337" w:rsidRDefault="0030733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296" w:rsidRDefault="00266296" w:rsidP="00C75E84">
      <w:pPr>
        <w:spacing w:after="0" w:line="240" w:lineRule="auto"/>
      </w:pPr>
      <w:r>
        <w:separator/>
      </w:r>
    </w:p>
  </w:footnote>
  <w:footnote w:type="continuationSeparator" w:id="0">
    <w:p w:rsidR="00266296" w:rsidRDefault="00266296" w:rsidP="00C75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C651F"/>
    <w:multiLevelType w:val="hybridMultilevel"/>
    <w:tmpl w:val="955C53D2"/>
    <w:lvl w:ilvl="0" w:tplc="C4C413E4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5A3"/>
    <w:rsid w:val="000565B0"/>
    <w:rsid w:val="0008405B"/>
    <w:rsid w:val="000C298E"/>
    <w:rsid w:val="00105A7B"/>
    <w:rsid w:val="001112CC"/>
    <w:rsid w:val="0015307E"/>
    <w:rsid w:val="001B51CD"/>
    <w:rsid w:val="001C27A2"/>
    <w:rsid w:val="001D7776"/>
    <w:rsid w:val="001F4F2C"/>
    <w:rsid w:val="00213476"/>
    <w:rsid w:val="00214C64"/>
    <w:rsid w:val="00224573"/>
    <w:rsid w:val="00231EC5"/>
    <w:rsid w:val="00266296"/>
    <w:rsid w:val="00295643"/>
    <w:rsid w:val="002D01C3"/>
    <w:rsid w:val="002E2EA5"/>
    <w:rsid w:val="002E3CDE"/>
    <w:rsid w:val="002E42C5"/>
    <w:rsid w:val="002E5C30"/>
    <w:rsid w:val="00307337"/>
    <w:rsid w:val="003106B7"/>
    <w:rsid w:val="00367CCF"/>
    <w:rsid w:val="003738FA"/>
    <w:rsid w:val="003C72F4"/>
    <w:rsid w:val="00446054"/>
    <w:rsid w:val="004764D7"/>
    <w:rsid w:val="004D15A3"/>
    <w:rsid w:val="005379EF"/>
    <w:rsid w:val="005C7E95"/>
    <w:rsid w:val="006243B7"/>
    <w:rsid w:val="00683403"/>
    <w:rsid w:val="006914E3"/>
    <w:rsid w:val="006E7C35"/>
    <w:rsid w:val="007010FA"/>
    <w:rsid w:val="00705734"/>
    <w:rsid w:val="007260BC"/>
    <w:rsid w:val="00771FF7"/>
    <w:rsid w:val="007F18C8"/>
    <w:rsid w:val="007F644D"/>
    <w:rsid w:val="007F6A1A"/>
    <w:rsid w:val="0086256E"/>
    <w:rsid w:val="008A3537"/>
    <w:rsid w:val="008A44C3"/>
    <w:rsid w:val="008B2779"/>
    <w:rsid w:val="008D50FC"/>
    <w:rsid w:val="00906323"/>
    <w:rsid w:val="00911347"/>
    <w:rsid w:val="009154D1"/>
    <w:rsid w:val="0093671C"/>
    <w:rsid w:val="00987F84"/>
    <w:rsid w:val="00A174F1"/>
    <w:rsid w:val="00A30C07"/>
    <w:rsid w:val="00AA03DB"/>
    <w:rsid w:val="00B03525"/>
    <w:rsid w:val="00B3177C"/>
    <w:rsid w:val="00B62865"/>
    <w:rsid w:val="00B822A6"/>
    <w:rsid w:val="00B96841"/>
    <w:rsid w:val="00BC5AE7"/>
    <w:rsid w:val="00C26916"/>
    <w:rsid w:val="00C75E84"/>
    <w:rsid w:val="00C91D69"/>
    <w:rsid w:val="00D4583F"/>
    <w:rsid w:val="00D941E4"/>
    <w:rsid w:val="00DE386A"/>
    <w:rsid w:val="00DF6A94"/>
    <w:rsid w:val="00E2450A"/>
    <w:rsid w:val="00EA4F2D"/>
    <w:rsid w:val="00ED5110"/>
    <w:rsid w:val="00EE67A2"/>
    <w:rsid w:val="00F468F1"/>
    <w:rsid w:val="00F52986"/>
    <w:rsid w:val="00F643DC"/>
    <w:rsid w:val="00F73DB1"/>
    <w:rsid w:val="00FA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9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5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911347"/>
    <w:pPr>
      <w:ind w:left="720"/>
    </w:pPr>
  </w:style>
  <w:style w:type="character" w:styleId="a4">
    <w:name w:val="Hyperlink"/>
    <w:basedOn w:val="a0"/>
    <w:uiPriority w:val="99"/>
    <w:rsid w:val="009113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7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75E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75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E84"/>
  </w:style>
  <w:style w:type="paragraph" w:styleId="a9">
    <w:name w:val="footer"/>
    <w:basedOn w:val="a"/>
    <w:link w:val="aa"/>
    <w:uiPriority w:val="99"/>
    <w:rsid w:val="00C75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C75E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9FB7277865A911A44812FC14C6B0262279F2C16FF0AC96A4A05ED7793FE09642CDCD0DD841D4F0yCs4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9FB7277865A911A44812FC14C6B0262279F2C16FF0AC96A4A05ED7793FE09642CDCD0DD841D4F0yCs4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1113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*</dc:creator>
  <cp:keywords/>
  <dc:description/>
  <cp:lastModifiedBy>Ворожбитова Ольга Борисовна</cp:lastModifiedBy>
  <cp:revision>12</cp:revision>
  <cp:lastPrinted>2014-04-22T09:20:00Z</cp:lastPrinted>
  <dcterms:created xsi:type="dcterms:W3CDTF">2014-03-12T12:45:00Z</dcterms:created>
  <dcterms:modified xsi:type="dcterms:W3CDTF">2014-04-25T07:17:00Z</dcterms:modified>
</cp:coreProperties>
</file>