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 4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0E5266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E5266">
        <w:t>от 21 апреля 2017 № 221</w:t>
      </w:r>
      <w:bookmarkStart w:id="0" w:name="_GoBack"/>
      <w:bookmarkEnd w:id="0"/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постановлением Правительства Ленинградской области от 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24.07.2012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 232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предоставления, распределения и расходования средств на поддержку муниципальных образований </w:t>
      </w:r>
      <w:r w:rsidR="00D03F35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026C98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 коммунальной инфраструктуры муниципального значени</w:t>
      </w:r>
      <w:r w:rsidR="00D03F35">
        <w:rPr>
          <w:rFonts w:ascii="Times New Roman" w:hAnsi="Times New Roman" w:cs="Times New Roman"/>
          <w:sz w:val="28"/>
          <w:szCs w:val="28"/>
        </w:rPr>
        <w:t xml:space="preserve">я в Ленинградской области </w:t>
      </w:r>
      <w:r w:rsidR="00B04BFD" w:rsidRPr="00B04BF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 </w:t>
      </w:r>
      <w:r w:rsidR="00D03F3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26C98">
        <w:rPr>
          <w:rFonts w:ascii="Times New Roman" w:hAnsi="Times New Roman" w:cs="Times New Roman"/>
          <w:sz w:val="28"/>
          <w:szCs w:val="28"/>
        </w:rPr>
        <w:t>средства на поддержку муниципальных образований) по следующим направлениям: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укрепление материально-технической базы муниципальных учреждений образования, культуры, физической культуры и спорта, социальной защиты населения, молодежной политики и оздоровления детей (казенных, бюджетных, автономных): приобретение оборудования и инвентаря, строительство и ремонт инженерных сетей, текущий и капитальный ремонт (за исключением подготовки проектно-сметной документации); ремонт дворовых территорий многоквартирных домов, подъездов к дворовым территориям многоквартирных домов населенных пунктов;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текущий и капитальный ремонт памятников и воинских захоронений Великой Отечественной войны (включая благоустройство прилегающей к ним территории), расположенных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разграничена, в связи с празднованием 70-летия Победы советского народа в Великой Отечественной войне 1941-1945 годов,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освещение улиц, приобретение и установка детских игровых и спортивных комплексов на землях или земельных участках, находящихся в муниципальной </w:t>
      </w:r>
      <w:r w:rsidRPr="00026C98">
        <w:rPr>
          <w:rFonts w:ascii="Times New Roman" w:hAnsi="Times New Roman" w:cs="Times New Roman"/>
          <w:sz w:val="28"/>
          <w:szCs w:val="28"/>
        </w:rPr>
        <w:lastRenderedPageBreak/>
        <w:t>собственности, или на землях или земельных участках, государственная собственность на которые не разграничена.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2. Средства на поддержку муниципальных образований выделяются бюджетам </w:t>
      </w:r>
      <w:r w:rsidR="00D03F35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в форме иных межбюджетных трансфертов в пределах бюджетных ассигнований и лимитов бюджетных обязательств, утвержденных в сводной бюджетной росписи бюджета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на текущий финансовый год.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3. Распределение средств на поддержку муниципальных образований на соответствующий финансовый год утверждается </w:t>
      </w:r>
      <w:r w:rsidR="00D03F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</w:t>
      </w:r>
      <w:r w:rsidR="00D03F35" w:rsidRPr="00984EB0">
        <w:rPr>
          <w:rFonts w:ascii="Times New Roman" w:hAnsi="Times New Roman" w:cs="Times New Roman"/>
          <w:sz w:val="28"/>
          <w:szCs w:val="28"/>
        </w:rPr>
        <w:t>района</w:t>
      </w:r>
      <w:r w:rsidR="00984EB0" w:rsidRPr="00984EB0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развитию общественной инфраструктуры муниципального значения на территории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4. Комитет финансов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перечисляет средства на поддержку муниципальных образований на счета главных администраторов доходов бюджетов муниципальных образований, открытые в территориальных отделениях Управления Федерального казнач</w:t>
      </w:r>
      <w:r w:rsidR="00D9774F">
        <w:rPr>
          <w:rFonts w:ascii="Times New Roman" w:hAnsi="Times New Roman" w:cs="Times New Roman"/>
          <w:sz w:val="28"/>
          <w:szCs w:val="28"/>
        </w:rPr>
        <w:t>ейства по Ленинградской области при соблюдении следующих условий: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иных межбюджетных трансфертов (за исключением муниципального образования «Город Гатчина»);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предоставление заявки администрации муниципального образования на перечисление иных межбюджетных трансфертов с приложением документов, подтверждающих </w:t>
      </w:r>
      <w:r w:rsidR="00B04BFD">
        <w:rPr>
          <w:rFonts w:ascii="Times New Roman" w:hAnsi="Times New Roman" w:cs="Times New Roman"/>
          <w:sz w:val="28"/>
          <w:szCs w:val="28"/>
        </w:rPr>
        <w:t>факт поставки товаров, выполнения работ, оказания услуг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04BF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, установленны</w:t>
      </w:r>
      <w:r w:rsidR="00B04BF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порядком и соглашением.</w:t>
      </w:r>
    </w:p>
    <w:p w:rsidR="00D9774F" w:rsidRPr="00026C98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Перечисление иных межбюджетных трансфертов муниципальному образованию «</w:t>
      </w:r>
      <w:r w:rsidR="0048354F">
        <w:rPr>
          <w:rFonts w:ascii="Times New Roman" w:hAnsi="Times New Roman" w:cs="Times New Roman"/>
          <w:sz w:val="28"/>
          <w:szCs w:val="28"/>
        </w:rPr>
        <w:t>Город Гатчина» осуществляется Комитетом финансов Гатчинского муниципального района в порядке межбюджетных отношений на основании постановления администрации Га</w:t>
      </w:r>
      <w:r w:rsidR="00B04BFD">
        <w:rPr>
          <w:rFonts w:ascii="Times New Roman" w:hAnsi="Times New Roman" w:cs="Times New Roman"/>
          <w:sz w:val="28"/>
          <w:szCs w:val="28"/>
        </w:rPr>
        <w:t>тчинского муниципального района и заключенного муниципального контракта на поставку товаров, выполнение работ, оказание услуг.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Органы местного самоуправления </w:t>
      </w:r>
      <w:r w:rsidR="00984EB0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:</w:t>
      </w:r>
    </w:p>
    <w:p w:rsidR="00026C98" w:rsidRPr="00026C98" w:rsidRDefault="00026C98" w:rsidP="00984E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а) осуществляют учет поступивших средств на поддержку муниципальных образований в доходной части бюджета муниципального образования в соответствии с доведенными до органов местного самоуправления уведомлениями по расчетам между бюджетами по межбюджетным трансфертам и расходование средств по кодам бюджетной классификации, утвержденным приказом комитета финансов </w:t>
      </w:r>
      <w:r w:rsidR="00984E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>;</w:t>
      </w:r>
    </w:p>
    <w:p w:rsidR="00026C98" w:rsidRPr="00026C98" w:rsidRDefault="00D9774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26C98" w:rsidRPr="00026C98">
        <w:rPr>
          <w:rFonts w:ascii="Times New Roman" w:hAnsi="Times New Roman" w:cs="Times New Roman"/>
          <w:sz w:val="28"/>
          <w:szCs w:val="28"/>
        </w:rPr>
        <w:t>) осуществляют расходование поступивших средств при наличии</w:t>
      </w:r>
      <w:r w:rsidR="00984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заключенного соглашения;</w:t>
      </w:r>
    </w:p>
    <w:p w:rsidR="00026C98" w:rsidRPr="00026C98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026C98" w:rsidRPr="00026C98">
        <w:rPr>
          <w:rFonts w:ascii="Times New Roman" w:hAnsi="Times New Roman" w:cs="Times New Roman"/>
          <w:sz w:val="28"/>
          <w:szCs w:val="28"/>
        </w:rPr>
        <w:t>) не позднее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отчетным, представляют в Комитет финансов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годовые отчеты о расходовании средств на поддержку муниципальных образований. При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поддержку муниципальных образований, к отчету прилагается пояснительная записка с объяснением причин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Не использованные в течение текущего финансового года денежные средства перечисляются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 и в сроки, установленные приказом комитета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для завершения финансового года.</w:t>
      </w:r>
    </w:p>
    <w:p w:rsidR="00D9774F" w:rsidRDefault="00B04BFD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обеспечивает соблюдение условий, целей и порядка предоставления средств на поддержку муниципальных образований. В случае использования средств не по целевому назначению соответствующие средства подлежат возврату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026C98" w:rsidRPr="00026C98" w:rsidRDefault="00B04BFD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Решения, принятые органами местного самоуправления в ходе исполнения соответствующего расходного обязательства, приводящие к превышению объема средств и(или) нормативов финансирования, установленных нормативными правовыми актами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, обеспечиваются за счет средств бюджетов муниципальных образований.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Ответственность за соблюдение настоящего Положения и достоверность представляемых сведений возлагается на органы местного самоуправления муниципальных образований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 Ле</w:t>
      </w:r>
      <w:r w:rsidR="00026C98" w:rsidRPr="00026C98">
        <w:rPr>
          <w:rFonts w:ascii="Times New Roman" w:hAnsi="Times New Roman" w:cs="Times New Roman"/>
          <w:sz w:val="28"/>
          <w:szCs w:val="28"/>
        </w:rPr>
        <w:t>нинградской области.</w:t>
      </w:r>
    </w:p>
    <w:p w:rsidR="00026C98" w:rsidRPr="00026C98" w:rsidRDefault="00026C98" w:rsidP="0002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6C98" w:rsidRPr="00026C98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E5266"/>
    <w:rsid w:val="0048354F"/>
    <w:rsid w:val="00984EB0"/>
    <w:rsid w:val="00B04BFD"/>
    <w:rsid w:val="00C17EEB"/>
    <w:rsid w:val="00D03F35"/>
    <w:rsid w:val="00D9774F"/>
    <w:rsid w:val="00E6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D037B-D8BF-4A72-9626-659A9E27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05143-4B90-4091-AA6A-537B5DCD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Любушкина Ирина Евгеньевна</cp:lastModifiedBy>
  <cp:revision>4</cp:revision>
  <dcterms:created xsi:type="dcterms:W3CDTF">2017-04-18T10:21:00Z</dcterms:created>
  <dcterms:modified xsi:type="dcterms:W3CDTF">2017-04-21T10:26:00Z</dcterms:modified>
</cp:coreProperties>
</file>