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EC" w:rsidRDefault="00ED53EC" w:rsidP="00ED53EC">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Отчет Контрольно-счетной палаты Гатчинского муниципального района о работе в 2017 году</w:t>
      </w:r>
    </w:p>
    <w:p w:rsidR="00ED53EC" w:rsidRDefault="00ED53EC" w:rsidP="00ED53EC">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D53EC" w:rsidRDefault="00ED53EC" w:rsidP="00ED53EC">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Раздел 1 Реализация Контрольно-счетной палатой Гатчинского муниципального района контрольных и экспертно-аналитических мероприятий</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отчетный период Контрольно-счетная палата Гатчинского муниципального района в своей деятельности руководствовалась Бюджетным кодексом Российской Федерации, Федеральным законом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Уставом муниципального образования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Гатчинский муниципальный район</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Ленинградской области, Положением о Контрольно-счетной палате Гатчинского муниципального района и другими федеральными, региональными и муниципальными нормативными правовыми актами, определяющими функции органа внешнего муниципального финансового контроля.           Деятельность Контрольно-счетной палаты основывалась на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Плане проведения Контрольно-счетной палатой Гатчинского муниципального района контрольных и аналитических мероприятий на 2017 год</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 учетом предложений и запросов глав представительных органов поселений, обращений глав администраций поселений  и на основании действующих Соглашений с поселениями района о передаче ими полномочий по внешнему муниципальному финансовому контролю Контрольно-счетной палате района  в объеме, определенном п.2 статьи 9 Федерального закона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План работы КСП ГМР на 2017 год в целом выполнен.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контрольной деятельности проведено 36 контрольных мероприятий по вопросам законности, результативности использования средств местных бюджетов, а так же средств получаемых местными бюджетами из иных источников, соблюдения установленного порядка управления и распоряжения имуществом, находящимся в муниципальной собственности, внешней проверке годовых отчетов об исполнении бюджетов и годовой бюджетной отчетности главных администраторов бюджетных средств, по выполнению условий, целей и порядка предоставления субсидий и их целевого использования.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экспертно-аналитической деятельности проведено 243 мероприятия.                                        Контрольная деятельность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t xml:space="preserve">В ходе контрольной работы проведено 22 камеральных проверки по вопросам достоверности, полноты и соответствия нормативным требованиям годовой бюджетной отчетности главных администраторов бюджетных средств, 14 </w:t>
      </w:r>
      <w:r>
        <w:rPr>
          <w:rFonts w:ascii="Times New Roman CYR" w:hAnsi="Times New Roman CYR" w:cs="Times New Roman CYR"/>
          <w:color w:val="000000"/>
          <w:sz w:val="28"/>
          <w:szCs w:val="28"/>
        </w:rPr>
        <w:lastRenderedPageBreak/>
        <w:t xml:space="preserve">документальных проверок в учреждениях и предприятиях района, в ходе которых проверялись состояние финансово-хозяйственной деятельности в </w:t>
      </w:r>
      <w:r>
        <w:rPr>
          <w:rFonts w:ascii="Times New Roman CYR" w:hAnsi="Times New Roman CYR" w:cs="Times New Roman CYR"/>
          <w:color w:val="000000"/>
          <w:sz w:val="20"/>
          <w:szCs w:val="20"/>
        </w:rPr>
        <w:t>2</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муниципальных учреждениях и </w:t>
      </w:r>
      <w:r>
        <w:rPr>
          <w:rFonts w:ascii="Times New Roman CYR" w:hAnsi="Times New Roman CYR" w:cs="Times New Roman CYR"/>
          <w:color w:val="000000"/>
          <w:sz w:val="28"/>
          <w:szCs w:val="28"/>
        </w:rPr>
        <w:t>предприятиях, законность</w:t>
      </w:r>
      <w:r>
        <w:rPr>
          <w:rFonts w:ascii="Times New Roman CYR" w:hAnsi="Times New Roman CYR" w:cs="Times New Roman CYR"/>
          <w:color w:val="000000"/>
          <w:sz w:val="28"/>
          <w:szCs w:val="28"/>
        </w:rPr>
        <w:t xml:space="preserve"> использования бюджетных средств их получателями, законность и эффективность использования имущества, находящегося в муниципальной собственности законность, целевое и эффективное расходование муниципальным образованием первого уровня средств, поступивших из бюджета района.           Проверено 16 органов местного самоуправления, 15 муниципальных учреждений, 2 муниципальных предприятия и одна организация.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результатам контрольных мероприятий составлено 25 актов и 11 справок.           Общий объем проверенных средств составил сумму более 7 млрд. руб., основная часть которых пришлась на камеральные проверки годовых отчетов и бюджетной отчетности.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Выявлено нарушений и недостатков бюджетного законодательства и бухгалтерского учета на сумму более 189 млн. руб.           Выявлено нарушений установленного порядка управления и распоряжения имуществом на сумму более 92 млн. руб.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Устранено учреждениями и предприятиями ранее выявленных Палатой нарушений на сумму 216 млн. руб.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результатам проверок Палатой сделаны письменные предложения в адрес всех руководителей объектов, подвергшихся контролю, об устранении выявленных проверками нарушений и недостатков.           По итогам 2 проверок направлены представления об устранении выявленных нарушений, по итогам 1 проверки направлено предписание.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представленной </w:t>
      </w:r>
      <w:proofErr w:type="gramStart"/>
      <w:r>
        <w:rPr>
          <w:rFonts w:ascii="Times New Roman CYR" w:hAnsi="Times New Roman CYR" w:cs="Times New Roman CYR"/>
          <w:color w:val="000000"/>
          <w:sz w:val="28"/>
          <w:szCs w:val="28"/>
        </w:rPr>
        <w:t>информации</w:t>
      </w:r>
      <w:proofErr w:type="gramEnd"/>
      <w:r>
        <w:rPr>
          <w:rFonts w:ascii="Times New Roman CYR" w:hAnsi="Times New Roman CYR" w:cs="Times New Roman CYR"/>
          <w:color w:val="000000"/>
          <w:sz w:val="28"/>
          <w:szCs w:val="28"/>
        </w:rPr>
        <w:t xml:space="preserve"> указанные в актах, представлениях и предписаниях нарушения и недостатки устранены или приняты меры по их исключению в дальнейшей работе.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результатам контрольных мероприятий 13 человек привлечены к дисциплинарной ответственности. Материалы проверок направлялись в Гатчинскую городскую прокуратуру, по результатам рассмотрения которых возбуждено 1 уголовное дело, 1 бухгалтер осужден.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Экспертно-аналитическая деятельность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в рамках экспертно-аналитической деятельности проведено 243 экспертно-аналитических мероприятий, 233 из них составили экспертизы проектов годовых отчетов поселений, проектов бюджетов поселений на 2018 год и плановый период, проектов муниципальных правовых актов в части, касающейся внесении изменений и дополнений в решение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О бюджете на </w:t>
      </w:r>
      <w:r>
        <w:rPr>
          <w:rFonts w:ascii="Times New Roman CYR" w:hAnsi="Times New Roman CYR" w:cs="Times New Roman CYR"/>
          <w:color w:val="000000"/>
          <w:sz w:val="28"/>
          <w:szCs w:val="28"/>
        </w:rPr>
        <w:lastRenderedPageBreak/>
        <w:t>2017 год и плановый период</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расходных обязательств муниципальных образований, муниципальных программ и других.          В том числе проведено 18 экспертно-аналитических мероприятий по внешней проверке годовых отчетов об исполнении бюджетов Гатчинского муниципального района, городских и сельских поселений на 2016 год, экспертиза 18 проектов бюджетов всех поселений на 2018 год и плановый период, выдано 36 экспертных заключений.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t xml:space="preserve">Проведена экспертиза проектов 42 муниципальных программ, экспертные заключения на которые направлены в поселения. </w:t>
      </w:r>
      <w:r>
        <w:rPr>
          <w:rFonts w:ascii="Times New Roman CYR" w:hAnsi="Times New Roman CYR" w:cs="Times New Roman CYR"/>
          <w:color w:val="000000"/>
          <w:sz w:val="20"/>
          <w:szCs w:val="20"/>
        </w:rPr>
        <w:t>3</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0"/>
          <w:szCs w:val="20"/>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93 случаях Палатой давались предложения по представленным проектам, которые были учтены при принятии соответствующих решений.            Еще 10 экспертно-аналитических мероприятий были направлены на проверку законности предоставления муниципальных гарантий, обследование достоверности, полноты и соответствия нормативным требованиям составления и предоставления квартального отчета об исполнении бюджета, экспертизу состояния бюджетного процесса в поселениях.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общероссийского мероприятия, проводившегося контрольно-счетными органами страны по инициативе Счетной палаты Российской Федерации, осуществлен анализ расходования бюджетных средств на исполнение судебных актов по обращению взыскания на средства бюджета муниципального образования, судебных актов по предоставлению благоустроенного жилья и других.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анализа и мониторинга бюджетного процесса в поселениях проведена экспертиза положений о бюджетном процессе в отдельных поселениях, в которые направлены предложения о приведении бюджетного процесса в соответствие действующему законодательству. В двух случаях в администрации поселений в связи с этим были направлены предписания контрольно-счетного органа. Бухгалтеры администраций привлечены к дисциплинарной ответственности.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представленных поселениями  отчетов об исполнении местного бюджета за первый квартал, полугодие и девять месяцев отчетного финансового года осуществлялся выборочный контроль по исполнению бюджетов поселений, проводилось обследование достоверности, полноты и соответствия нормативным требованиям составления и представления квартального отчета об исполнении бюджета в Контрольно-счетную палату казенными учреждениями в соответствие с требованиями Бюджетного кодекса Российской Федерации.</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Раздел 2 Осуществление иной деятельности Контрольно-счетной палатой Гатчинского муниципального района</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t xml:space="preserve">В I квартале 2017 года в Советы депутатов поселений направлены отчеты о проделанной работе на основании заключенных Соглашений о передаче Контрольно-счетному органу муниципального района полномочий контрольно-счетного органа поселений по осуществлению внешнего муниципального финансового контроля. В 2017 году проводилась работа с обращениями граждан. Таких обращений поступило пять, на все даны ответы. В 2017 году продолжалась работа по повышению профессиональной подготовки и повышению квалификации сотрудников Палаты, в ходе которой один сотрудник прошел профессиональную переподготовку. В рамках работы областного Совета органов финансового контроля Палата приняла участие в четырех заседаниях Совета органов финансового </w:t>
      </w:r>
      <w:r>
        <w:rPr>
          <w:rFonts w:ascii="Times New Roman CYR" w:hAnsi="Times New Roman CYR" w:cs="Times New Roman CYR"/>
          <w:color w:val="000000"/>
          <w:sz w:val="28"/>
          <w:szCs w:val="28"/>
        </w:rPr>
        <w:t>контроля Ленинградской</w:t>
      </w:r>
      <w:r>
        <w:rPr>
          <w:rFonts w:ascii="Times New Roman CYR" w:hAnsi="Times New Roman CYR" w:cs="Times New Roman CYR"/>
          <w:color w:val="000000"/>
          <w:sz w:val="28"/>
          <w:szCs w:val="28"/>
        </w:rPr>
        <w:t xml:space="preserve"> области.</w:t>
      </w:r>
      <w:r>
        <w:rPr>
          <w:rFonts w:ascii="Times New Roman CYR" w:hAnsi="Times New Roman CYR" w:cs="Times New Roman CYR"/>
          <w:color w:val="000000"/>
          <w:sz w:val="20"/>
          <w:szCs w:val="20"/>
        </w:rPr>
        <w:t>4</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0"/>
          <w:szCs w:val="20"/>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августе 2017 года Палата принимала участие в семинаре, организованном Комитетом финансов для бухгалтеров учреждений. На семинаре бухгалтера учреждений были проинформированы сотрудниками Палаты о результатах проведенных проверок в учреждениях по вопросам, относящимся к компетенции Палаты; об ошибках, допускаемых при составлении годовых и квартальных отчетов, проектов бюджетов на очередной год и плановый период; об ошибках при осуществлении текущей финансово-хозяйственной деятельности и других. В течение года проводилась консультационная работа сотрудниками Палаты по обращениям сотрудников администраций и учреждений городских и сельских поселений и Гатчинского муниципального района.         </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на отдельных заседаниях Совета Глав администраций поселений по инициативе </w:t>
      </w:r>
      <w:proofErr w:type="spellStart"/>
      <w:r>
        <w:rPr>
          <w:rFonts w:ascii="Times New Roman CYR" w:hAnsi="Times New Roman CYR" w:cs="Times New Roman CYR"/>
          <w:color w:val="000000"/>
          <w:sz w:val="28"/>
          <w:szCs w:val="28"/>
        </w:rPr>
        <w:t>Контро</w:t>
      </w:r>
      <w:bookmarkStart w:id="0" w:name="_GoBack"/>
      <w:bookmarkEnd w:id="0"/>
      <w:r>
        <w:rPr>
          <w:rFonts w:ascii="Times New Roman CYR" w:hAnsi="Times New Roman CYR" w:cs="Times New Roman CYR"/>
          <w:color w:val="000000"/>
          <w:sz w:val="28"/>
          <w:szCs w:val="28"/>
        </w:rPr>
        <w:t>льно</w:t>
      </w:r>
      <w:proofErr w:type="spellEnd"/>
      <w:r>
        <w:rPr>
          <w:rFonts w:ascii="Times New Roman CYR" w:hAnsi="Times New Roman CYR" w:cs="Times New Roman CYR"/>
          <w:color w:val="000000"/>
          <w:sz w:val="28"/>
          <w:szCs w:val="28"/>
        </w:rPr>
        <w:t xml:space="preserve"> - счетной палаты рассматривались отдельные вопросы, относящиеся к компетенции Палаты.</w:t>
      </w:r>
    </w:p>
    <w:p w:rsidR="00ED53EC" w:rsidRDefault="00ED53EC" w:rsidP="00ED53EC">
      <w:pPr>
        <w:autoSpaceDE w:val="0"/>
        <w:autoSpaceDN w:val="0"/>
        <w:adjustRightInd w:val="0"/>
        <w:spacing w:after="0" w:line="240" w:lineRule="auto"/>
        <w:jc w:val="both"/>
        <w:rPr>
          <w:rFonts w:ascii="Times New Roman CYR" w:hAnsi="Times New Roman CYR" w:cs="Times New Roman CYR"/>
          <w:color w:val="000000"/>
          <w:sz w:val="28"/>
          <w:szCs w:val="28"/>
        </w:rPr>
      </w:pPr>
    </w:p>
    <w:p w:rsidR="00CB60A3" w:rsidRDefault="00ED53EC" w:rsidP="00ED53EC">
      <w:pPr>
        <w:jc w:val="both"/>
      </w:pPr>
      <w:r>
        <w:rPr>
          <w:rFonts w:ascii="Times New Roman CYR" w:hAnsi="Times New Roman CYR" w:cs="Times New Roman CYR"/>
          <w:color w:val="000000"/>
          <w:sz w:val="28"/>
          <w:szCs w:val="28"/>
        </w:rPr>
        <w:t>Председатель Контрольно-счетной палаты Гатчинског</w:t>
      </w:r>
      <w:r>
        <w:rPr>
          <w:rFonts w:ascii="Times New Roman CYR" w:hAnsi="Times New Roman CYR" w:cs="Times New Roman CYR"/>
          <w:color w:val="000000"/>
          <w:sz w:val="28"/>
          <w:szCs w:val="28"/>
        </w:rPr>
        <w:t xml:space="preserve">о муниципального района </w:t>
      </w:r>
      <w:r>
        <w:rPr>
          <w:rFonts w:ascii="Times New Roman CYR" w:hAnsi="Times New Roman CYR" w:cs="Times New Roman CYR"/>
          <w:color w:val="000000"/>
          <w:sz w:val="28"/>
          <w:szCs w:val="28"/>
        </w:rPr>
        <w:t xml:space="preserve">И. Е. </w:t>
      </w:r>
      <w:proofErr w:type="spellStart"/>
      <w:r>
        <w:rPr>
          <w:rFonts w:ascii="Times New Roman CYR" w:hAnsi="Times New Roman CYR" w:cs="Times New Roman CYR"/>
          <w:color w:val="000000"/>
          <w:sz w:val="28"/>
          <w:szCs w:val="28"/>
        </w:rPr>
        <w:t>Вихровский</w:t>
      </w:r>
      <w:proofErr w:type="spellEnd"/>
    </w:p>
    <w:sectPr w:rsidR="00CB6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EC"/>
    <w:rsid w:val="00CB60A3"/>
    <w:rsid w:val="00ED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3F99"/>
  <w15:chartTrackingRefBased/>
  <w15:docId w15:val="{59D1F74A-04D4-409C-AD5E-1D15FB39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Мыльникова Эльвира Анатольевна</dc:creator>
  <cp:keywords/>
  <dc:description/>
  <cp:lastModifiedBy>Мыльникова Эльвира Анатольевна</cp:lastModifiedBy>
  <cp:revision>1</cp:revision>
  <dcterms:created xsi:type="dcterms:W3CDTF">2018-04-03T07:59:00Z</dcterms:created>
  <dcterms:modified xsi:type="dcterms:W3CDTF">2018-04-03T08:01:00Z</dcterms:modified>
</cp:coreProperties>
</file>