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6814D78C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другой стороны, далее совместно именуемые Стороны, на основании Протокола Аукциона № __  от «__» 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(Приложение № 1) и в соответствии с 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от </w:t>
      </w:r>
      <w:r w:rsid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</w:t>
      </w:r>
      <w:r w:rsidR="000B69F6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605C28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2089E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0B69F6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A2089E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605C28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</w:t>
      </w:r>
      <w:r w:rsidR="00431C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08</w:t>
      </w:r>
      <w:r w:rsidR="00A2089E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проведении электронного аукциона по продаже права на заключение </w:t>
      </w:r>
      <w:r w:rsidR="00A2089E" w:rsidRPr="004B4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договора </w:t>
      </w:r>
      <w:r w:rsidR="00A2089E" w:rsidRPr="00E60E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аренды на объект недвижимости- </w:t>
      </w:r>
      <w:r w:rsidR="00E60E3B" w:rsidRPr="00E60E3B">
        <w:rPr>
          <w:rFonts w:ascii="Times New Roman" w:hAnsi="Times New Roman" w:cs="Times New Roman"/>
          <w:color w:val="000000" w:themeColor="text1"/>
        </w:rPr>
        <w:t>нежилое помещение с кадастровым номером 47:23:0103001:2584 площадью 32,8 кв.</w:t>
      </w:r>
      <w:r w:rsidR="00F642D7">
        <w:rPr>
          <w:rFonts w:ascii="Times New Roman" w:hAnsi="Times New Roman" w:cs="Times New Roman"/>
          <w:color w:val="000000" w:themeColor="text1"/>
        </w:rPr>
        <w:t xml:space="preserve"> 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м, расположенного по адресу: Ленинградская область, р-н </w:t>
      </w:r>
      <w:r w:rsidR="00E60E3B" w:rsidRPr="00E60E3B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5,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ЛК1 с кадастровым номером 47:23:0103001:2591 площадью 11.75 </w:t>
      </w:r>
      <w:proofErr w:type="spellStart"/>
      <w:r w:rsidR="00E60E3B" w:rsidRPr="00E60E3B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E60E3B" w:rsidRPr="00E60E3B">
        <w:rPr>
          <w:rFonts w:ascii="Times New Roman" w:hAnsi="Times New Roman" w:cs="Times New Roman"/>
          <w:color w:val="000000" w:themeColor="text1"/>
        </w:rPr>
        <w:t xml:space="preserve"> от общей площади 57 кв.</w:t>
      </w:r>
      <w:r w:rsidR="00F642D7">
        <w:rPr>
          <w:rFonts w:ascii="Times New Roman" w:hAnsi="Times New Roman" w:cs="Times New Roman"/>
          <w:color w:val="000000" w:themeColor="text1"/>
        </w:rPr>
        <w:t xml:space="preserve"> </w:t>
      </w:r>
      <w:r w:rsidR="00E60E3B" w:rsidRPr="00E60E3B">
        <w:rPr>
          <w:rFonts w:ascii="Times New Roman" w:hAnsi="Times New Roman" w:cs="Times New Roman"/>
          <w:color w:val="000000" w:themeColor="text1"/>
        </w:rPr>
        <w:t>м, расположенного по адресу: Ленинградская</w:t>
      </w:r>
      <w:r w:rsidR="00E60E3B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область, р-н </w:t>
      </w:r>
      <w:r w:rsidR="00E60E3B" w:rsidRPr="00E60E3B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ЛК1</w:t>
      </w:r>
      <w:r w:rsidR="00A2089E" w:rsidRPr="00E60E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E60E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172445F9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нежилое помещение с кадастровым номером 47:23:0103001:2584 площадью 32,8 </w:t>
      </w:r>
      <w:proofErr w:type="spellStart"/>
      <w:r w:rsidR="00E60E3B" w:rsidRPr="00E60E3B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E60E3B" w:rsidRPr="00E60E3B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E60E3B" w:rsidRPr="00E60E3B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5,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ЛК1 с кадастровым номером 47:23:0103001:2591 площадью 11.75 </w:t>
      </w:r>
      <w:proofErr w:type="spellStart"/>
      <w:r w:rsidR="00E60E3B" w:rsidRPr="00E60E3B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E60E3B" w:rsidRPr="00E60E3B">
        <w:rPr>
          <w:rFonts w:ascii="Times New Roman" w:hAnsi="Times New Roman" w:cs="Times New Roman"/>
          <w:color w:val="000000" w:themeColor="text1"/>
        </w:rPr>
        <w:t xml:space="preserve"> от общей площади 57 </w:t>
      </w:r>
      <w:proofErr w:type="spellStart"/>
      <w:r w:rsidR="00E60E3B" w:rsidRPr="00E60E3B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E60E3B" w:rsidRPr="00E60E3B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E60E3B" w:rsidRPr="00E60E3B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ЛК1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192FABFC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Объект предоставляется в аренду Арендатору для использования </w:t>
      </w:r>
      <w:r w:rsidRPr="00A13A33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A13A33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A13A3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A13A33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A13A33" w:rsidRPr="00A13A33">
        <w:rPr>
          <w:rFonts w:ascii="Times New Roman" w:hAnsi="Times New Roman" w:cs="Times New Roman"/>
        </w:rPr>
        <w:t>«Елизаветинское сельское поселение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25.03.2022 года №28, от 22.02.2024 года №19, от 07.03.2024 года №25).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18DC722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по «___» ______ 203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07C02A3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Аукциона №______ от «__» ________________________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07F043DC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6E63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715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5AC445C2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</w:p>
    <w:p w14:paraId="3FB239F7" w14:textId="13B81E7D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</w:t>
      </w:r>
      <w:r w:rsidR="009C0F13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ласти</w:t>
      </w:r>
      <w:r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r w:rsidR="00605C28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</w:t>
      </w:r>
      <w:r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B69F6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605C28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0B69F6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605C28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22</w:t>
      </w:r>
      <w:r w:rsidR="00431C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08</w:t>
      </w:r>
      <w:r w:rsidR="00B62D5B" w:rsidRPr="00605C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B69F6"/>
    <w:rsid w:val="000C2697"/>
    <w:rsid w:val="000D7828"/>
    <w:rsid w:val="001A59D5"/>
    <w:rsid w:val="00250F15"/>
    <w:rsid w:val="00252389"/>
    <w:rsid w:val="002B6036"/>
    <w:rsid w:val="002E7250"/>
    <w:rsid w:val="0030046F"/>
    <w:rsid w:val="00431C95"/>
    <w:rsid w:val="00443D72"/>
    <w:rsid w:val="004742F4"/>
    <w:rsid w:val="004B411D"/>
    <w:rsid w:val="004F65B1"/>
    <w:rsid w:val="005127EC"/>
    <w:rsid w:val="00605C28"/>
    <w:rsid w:val="00682FC0"/>
    <w:rsid w:val="006D6034"/>
    <w:rsid w:val="006E3740"/>
    <w:rsid w:val="006E630E"/>
    <w:rsid w:val="006F2E8C"/>
    <w:rsid w:val="00737427"/>
    <w:rsid w:val="00737CEB"/>
    <w:rsid w:val="00783FF3"/>
    <w:rsid w:val="00802556"/>
    <w:rsid w:val="00813E9D"/>
    <w:rsid w:val="00816C8F"/>
    <w:rsid w:val="00845A21"/>
    <w:rsid w:val="008F4F32"/>
    <w:rsid w:val="00914BBA"/>
    <w:rsid w:val="00932632"/>
    <w:rsid w:val="009570F7"/>
    <w:rsid w:val="009C0F13"/>
    <w:rsid w:val="009E64EF"/>
    <w:rsid w:val="00A13A33"/>
    <w:rsid w:val="00A2089E"/>
    <w:rsid w:val="00A2637E"/>
    <w:rsid w:val="00A54FE4"/>
    <w:rsid w:val="00A833D2"/>
    <w:rsid w:val="00AC1E81"/>
    <w:rsid w:val="00AD6032"/>
    <w:rsid w:val="00AD77DA"/>
    <w:rsid w:val="00AE5D4D"/>
    <w:rsid w:val="00B061B2"/>
    <w:rsid w:val="00B273FC"/>
    <w:rsid w:val="00B62D5B"/>
    <w:rsid w:val="00C9204F"/>
    <w:rsid w:val="00C94DF9"/>
    <w:rsid w:val="00CE56A4"/>
    <w:rsid w:val="00D12CC0"/>
    <w:rsid w:val="00D40CDD"/>
    <w:rsid w:val="00D7542D"/>
    <w:rsid w:val="00D9275F"/>
    <w:rsid w:val="00DE3045"/>
    <w:rsid w:val="00E21D3F"/>
    <w:rsid w:val="00E45956"/>
    <w:rsid w:val="00E50099"/>
    <w:rsid w:val="00E60E3B"/>
    <w:rsid w:val="00E6210A"/>
    <w:rsid w:val="00E86E94"/>
    <w:rsid w:val="00EF7A10"/>
    <w:rsid w:val="00F642D7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36</cp:revision>
  <dcterms:created xsi:type="dcterms:W3CDTF">2025-07-31T17:33:00Z</dcterms:created>
  <dcterms:modified xsi:type="dcterms:W3CDTF">2026-03-17T09:21:00Z</dcterms:modified>
</cp:coreProperties>
</file>