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1C56281E" w14:textId="77777777" w:rsidR="00190066" w:rsidRDefault="00190066" w:rsidP="00190066">
      <w:pPr>
        <w:ind w:firstLine="709"/>
        <w:jc w:val="both"/>
      </w:pPr>
      <w:r>
        <w:t>Начало приема заявок: 09 часов 00 минут 02.04.2025.</w:t>
      </w:r>
    </w:p>
    <w:p w14:paraId="304DD606" w14:textId="77777777" w:rsidR="00190066" w:rsidRDefault="00190066" w:rsidP="00190066">
      <w:pPr>
        <w:ind w:firstLine="709"/>
        <w:jc w:val="both"/>
      </w:pPr>
      <w:r>
        <w:t>Окончание приема заявок: 09 часов 00 минут 22.04.2025.</w:t>
      </w:r>
    </w:p>
    <w:p w14:paraId="351876D4" w14:textId="77777777" w:rsidR="00190066" w:rsidRDefault="00190066" w:rsidP="00190066">
      <w:pPr>
        <w:ind w:firstLine="709"/>
        <w:jc w:val="both"/>
      </w:pPr>
      <w:r>
        <w:t>Дата рассмотрения заявок: 23.04.2025.</w:t>
      </w:r>
    </w:p>
    <w:p w14:paraId="0E78D056" w14:textId="5F6C7A4B" w:rsidR="00C07F50" w:rsidRDefault="00190066" w:rsidP="00190066">
      <w:pPr>
        <w:ind w:firstLine="709"/>
        <w:jc w:val="both"/>
      </w:pPr>
      <w:r>
        <w:t>Дата и время проведения аукциона: 09 часов 00 минут 24.04.2024.</w:t>
      </w:r>
    </w:p>
    <w:p w14:paraId="6F73E6DC" w14:textId="77777777" w:rsidR="005F23E7" w:rsidRDefault="005F23E7" w:rsidP="005F23E7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4CF96D52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2D3DB3" w:rsidRPr="002D3DB3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677BC957" w:rsidR="00824775" w:rsidRPr="00824775" w:rsidRDefault="002D3DB3" w:rsidP="00824775">
      <w:pPr>
        <w:ind w:firstLine="709"/>
        <w:jc w:val="both"/>
        <w:rPr>
          <w:lang w:eastAsia="x-none"/>
        </w:rPr>
      </w:pPr>
      <w:r w:rsidRPr="002D3DB3">
        <w:rPr>
          <w:lang w:eastAsia="x-none"/>
        </w:rPr>
        <w:t>Участниками аукциона в соответствии с пунктом 10 статьи 39.11 Земельного кодекса Российской Федерации могут являться только граждане</w:t>
      </w:r>
      <w:r w:rsidR="00824775" w:rsidRPr="00824775">
        <w:rPr>
          <w:lang w:eastAsia="x-none"/>
        </w:rPr>
        <w:t>.</w:t>
      </w:r>
    </w:p>
    <w:p w14:paraId="0FF3E2C6" w14:textId="77777777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698EBB77" w14:textId="394B9541" w:rsidR="00FA1B8D" w:rsidRDefault="00FA1B8D" w:rsidP="00600218">
      <w:pPr>
        <w:ind w:firstLine="709"/>
        <w:jc w:val="both"/>
        <w:rPr>
          <w:lang w:eastAsia="x-none"/>
        </w:rPr>
      </w:pPr>
      <w:r>
        <w:rPr>
          <w:lang w:eastAsia="x-none"/>
        </w:rPr>
        <w:t>И</w:t>
      </w:r>
      <w:r w:rsidRPr="00FA1B8D">
        <w:rPr>
          <w:lang w:eastAsia="x-none"/>
        </w:rPr>
        <w:t>нформационн</w:t>
      </w:r>
      <w:r>
        <w:rPr>
          <w:lang w:eastAsia="x-none"/>
        </w:rPr>
        <w:t>ое</w:t>
      </w:r>
      <w:r w:rsidRPr="00FA1B8D">
        <w:rPr>
          <w:lang w:eastAsia="x-none"/>
        </w:rPr>
        <w:t xml:space="preserve"> извещени</w:t>
      </w:r>
      <w:r>
        <w:rPr>
          <w:lang w:eastAsia="x-none"/>
        </w:rPr>
        <w:t>е</w:t>
      </w:r>
      <w:r w:rsidRPr="00FA1B8D">
        <w:rPr>
          <w:lang w:eastAsia="x-none"/>
        </w:rPr>
        <w:t xml:space="preserve"> о планируемом предоставлении земельного участка в</w:t>
      </w:r>
      <w:r>
        <w:rPr>
          <w:lang w:eastAsia="x-none"/>
        </w:rPr>
        <w:t> </w:t>
      </w:r>
      <w:r w:rsidRPr="00FA1B8D">
        <w:rPr>
          <w:lang w:eastAsia="x-none"/>
        </w:rPr>
        <w:t xml:space="preserve">аренду, опубликовано в печатном издании газеты «Гатчинская правда» </w:t>
      </w:r>
      <w:r w:rsidR="00B25493" w:rsidRPr="00B25493">
        <w:rPr>
          <w:lang w:eastAsia="x-none"/>
        </w:rPr>
        <w:t>от 28.06.2022</w:t>
      </w:r>
      <w:r w:rsidR="00E43966">
        <w:rPr>
          <w:lang w:eastAsia="x-none"/>
        </w:rPr>
        <w:t>,</w:t>
      </w:r>
      <w:r w:rsidR="00B25493" w:rsidRPr="00B25493">
        <w:rPr>
          <w:lang w:eastAsia="x-none"/>
        </w:rPr>
        <w:t xml:space="preserve"> размещен</w:t>
      </w:r>
      <w:r w:rsidR="00185B55">
        <w:rPr>
          <w:lang w:eastAsia="x-none"/>
        </w:rPr>
        <w:t>о</w:t>
      </w:r>
      <w:r w:rsidR="00B25493" w:rsidRPr="00B25493">
        <w:rPr>
          <w:lang w:eastAsia="x-none"/>
        </w:rPr>
        <w:t xml:space="preserve"> на официальном сайте Гатчинского муниципального района </w:t>
      </w:r>
      <w:hyperlink r:id="rId6" w:history="1">
        <w:r w:rsidR="00185B55" w:rsidRPr="00B41CF6">
          <w:rPr>
            <w:rStyle w:val="a8"/>
            <w:lang w:eastAsia="x-none"/>
          </w:rPr>
          <w:t>http://radm.gtn.ru</w:t>
        </w:r>
      </w:hyperlink>
      <w:r w:rsidR="00185B55">
        <w:rPr>
          <w:lang w:eastAsia="x-none"/>
        </w:rPr>
        <w:t xml:space="preserve"> </w:t>
      </w:r>
      <w:r w:rsidR="00B25493" w:rsidRPr="00B25493">
        <w:rPr>
          <w:lang w:eastAsia="x-none"/>
        </w:rPr>
        <w:t>от</w:t>
      </w:r>
      <w:r w:rsidR="0078141D">
        <w:rPr>
          <w:lang w:eastAsia="x-none"/>
        </w:rPr>
        <w:t> </w:t>
      </w:r>
      <w:r w:rsidR="00B25493" w:rsidRPr="00B25493">
        <w:rPr>
          <w:lang w:eastAsia="x-none"/>
        </w:rPr>
        <w:t xml:space="preserve">28.06.2022 и </w:t>
      </w:r>
      <w:r w:rsidR="00B82F2A" w:rsidRPr="00B82F2A">
        <w:rPr>
          <w:lang w:eastAsia="x-none"/>
        </w:rPr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="00E43966">
        <w:rPr>
          <w:lang w:eastAsia="x-none"/>
        </w:rPr>
        <w:t xml:space="preserve"> </w:t>
      </w:r>
      <w:hyperlink r:id="rId7" w:history="1">
        <w:r w:rsidR="00B82F2A" w:rsidRPr="00564529">
          <w:rPr>
            <w:rStyle w:val="a8"/>
            <w:lang w:eastAsia="x-none"/>
          </w:rPr>
          <w:t>https://torgi.gov.ru</w:t>
        </w:r>
      </w:hyperlink>
      <w:r w:rsidR="00B82F2A">
        <w:rPr>
          <w:lang w:eastAsia="x-none"/>
        </w:rPr>
        <w:t xml:space="preserve"> </w:t>
      </w:r>
      <w:r w:rsidR="00B25493" w:rsidRPr="00B25493">
        <w:rPr>
          <w:lang w:eastAsia="x-none"/>
        </w:rPr>
        <w:t>от</w:t>
      </w:r>
      <w:r w:rsidR="00E43966">
        <w:rPr>
          <w:lang w:eastAsia="x-none"/>
        </w:rPr>
        <w:t> </w:t>
      </w:r>
      <w:r w:rsidR="00B25493" w:rsidRPr="00B25493">
        <w:rPr>
          <w:lang w:eastAsia="x-none"/>
        </w:rPr>
        <w:t>28.06.2022</w:t>
      </w:r>
      <w:r w:rsidR="009016CA">
        <w:rPr>
          <w:lang w:eastAsia="x-none"/>
        </w:rPr>
        <w:t>.</w:t>
      </w:r>
    </w:p>
    <w:p w14:paraId="1A4F7271" w14:textId="5205C17E" w:rsidR="00824775" w:rsidRPr="00824775" w:rsidRDefault="00A1799C" w:rsidP="00BA2E4E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C4072F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BA2E4E">
        <w:rPr>
          <w:lang w:eastAsia="x-none"/>
        </w:rPr>
        <w:t>24.01</w:t>
      </w:r>
      <w:r w:rsidR="00DD6C31" w:rsidRPr="00DD6C31">
        <w:rPr>
          <w:lang w:eastAsia="x-none"/>
        </w:rPr>
        <w:t>.202</w:t>
      </w:r>
      <w:r w:rsidR="00600218">
        <w:rPr>
          <w:lang w:eastAsia="x-none"/>
        </w:rPr>
        <w:t>5</w:t>
      </w:r>
      <w:r w:rsidR="00824775" w:rsidRPr="00DD6C31">
        <w:rPr>
          <w:lang w:eastAsia="x-none"/>
        </w:rPr>
        <w:t xml:space="preserve"> № </w:t>
      </w:r>
      <w:r w:rsidR="00BA2E4E">
        <w:rPr>
          <w:lang w:eastAsia="x-none"/>
        </w:rPr>
        <w:t>239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BA2E4E">
        <w:rPr>
          <w:lang w:eastAsia="x-none"/>
        </w:rPr>
        <w:t>О проведении аукциона на право заключения договора аренды земельного участка с</w:t>
      </w:r>
      <w:r w:rsidR="00567D5C">
        <w:rPr>
          <w:lang w:eastAsia="x-none"/>
        </w:rPr>
        <w:t> </w:t>
      </w:r>
      <w:r w:rsidR="00BA2E4E">
        <w:rPr>
          <w:lang w:eastAsia="x-none"/>
        </w:rPr>
        <w:t>кадастровым номером 47:23:0253001:4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8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 xml:space="preserve">на официальном сайте Российской Федерации в информационно-телекоммуникационной сети "Интернет" для </w:t>
      </w:r>
      <w:r w:rsidR="00F71D2C" w:rsidRPr="00F71D2C">
        <w:lastRenderedPageBreak/>
        <w:t>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9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10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11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2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7E1B9E5A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Pr="00824775">
        <w:rPr>
          <w:lang w:val="x-none" w:eastAsia="x-none"/>
        </w:rPr>
        <w:t xml:space="preserve"> площадью</w:t>
      </w:r>
      <w:r w:rsidRPr="00824775">
        <w:rPr>
          <w:lang w:eastAsia="x-none"/>
        </w:rPr>
        <w:t xml:space="preserve"> </w:t>
      </w:r>
      <w:r w:rsidR="00C4072F" w:rsidRPr="00C4072F">
        <w:rPr>
          <w:lang w:eastAsia="x-none"/>
        </w:rPr>
        <w:t>1</w:t>
      </w:r>
      <w:r w:rsidR="006737D7">
        <w:rPr>
          <w:lang w:eastAsia="x-none"/>
        </w:rPr>
        <w:t>200</w:t>
      </w:r>
      <w:r w:rsidR="00C4072F" w:rsidRPr="00C4072F">
        <w:rPr>
          <w:lang w:eastAsia="x-none"/>
        </w:rPr>
        <w:t xml:space="preserve"> (одна тысяча </w:t>
      </w:r>
      <w:r w:rsidR="006737D7">
        <w:rPr>
          <w:lang w:eastAsia="x-none"/>
        </w:rPr>
        <w:t>двести</w:t>
      </w:r>
      <w:r w:rsidR="00C4072F" w:rsidRPr="00C4072F">
        <w:rPr>
          <w:lang w:eastAsia="x-none"/>
        </w:rPr>
        <w:t xml:space="preserve">) </w:t>
      </w:r>
      <w:r w:rsidR="00334CC1" w:rsidRPr="00334CC1">
        <w:rPr>
          <w:lang w:eastAsia="x-none"/>
        </w:rPr>
        <w:t>кв.м</w:t>
      </w:r>
      <w:r w:rsidR="00334CC1">
        <w:rPr>
          <w:lang w:eastAsia="x-none"/>
        </w:rPr>
        <w:t>.</w:t>
      </w:r>
      <w:r w:rsidR="0043417F" w:rsidRPr="0043417F">
        <w:rPr>
          <w:lang w:eastAsia="x-none"/>
        </w:rPr>
        <w:t>, с</w:t>
      </w:r>
      <w:r w:rsidR="00334CC1">
        <w:rPr>
          <w:lang w:eastAsia="x-none"/>
        </w:rPr>
        <w:t> </w:t>
      </w:r>
      <w:r w:rsidR="0043417F" w:rsidRPr="0043417F">
        <w:rPr>
          <w:lang w:eastAsia="x-none"/>
        </w:rPr>
        <w:t>кадастровым номером</w:t>
      </w:r>
      <w:r w:rsidR="00997FCB">
        <w:rPr>
          <w:lang w:eastAsia="x-none"/>
        </w:rPr>
        <w:t xml:space="preserve"> </w:t>
      </w:r>
      <w:r w:rsidR="006737D7" w:rsidRPr="006737D7">
        <w:rPr>
          <w:lang w:eastAsia="x-none"/>
        </w:rPr>
        <w:t>47:23:0253001:4</w:t>
      </w:r>
      <w:r w:rsidRPr="00824775">
        <w:rPr>
          <w:lang w:val="x-none" w:eastAsia="x-none"/>
        </w:rPr>
        <w:t>, расположенный по адресу:</w:t>
      </w:r>
      <w:r w:rsidRPr="00824775">
        <w:rPr>
          <w:lang w:eastAsia="x-none"/>
        </w:rPr>
        <w:t xml:space="preserve"> </w:t>
      </w:r>
      <w:r w:rsidR="006737D7" w:rsidRPr="006737D7">
        <w:rPr>
          <w:lang w:eastAsia="x-none"/>
        </w:rPr>
        <w:t>Ленинградская область, Гатчинский муниципальный район, Веревское сельское поселение, д. Романовка, ул. Овражная, з/у 3</w:t>
      </w:r>
      <w:r w:rsidRPr="00824775">
        <w:rPr>
          <w:lang w:eastAsia="x-none"/>
        </w:rPr>
        <w:t>.</w:t>
      </w:r>
    </w:p>
    <w:p w14:paraId="2D09EEB1" w14:textId="0302060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1C3587" w:rsidRPr="001C3587">
        <w:rPr>
          <w:bCs/>
          <w:lang w:eastAsia="x-none"/>
        </w:rPr>
        <w:t>земли населенных пунктов</w:t>
      </w:r>
      <w:r w:rsidRPr="008F0043">
        <w:rPr>
          <w:bCs/>
          <w:lang w:eastAsia="x-none"/>
        </w:rPr>
        <w:t>.</w:t>
      </w:r>
    </w:p>
    <w:p w14:paraId="6DBE5BA3" w14:textId="3E16DA47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6737D7" w:rsidRPr="006737D7">
        <w:rPr>
          <w:bCs/>
          <w:lang w:eastAsia="x-none"/>
        </w:rPr>
        <w:t>для ведения личного подсобного хозяйства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12884062" w14:textId="3141AC81" w:rsidR="00C4072F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</w:t>
      </w:r>
      <w:r w:rsidR="00C4072F">
        <w:rPr>
          <w:bCs/>
        </w:rPr>
        <w:t>:</w:t>
      </w:r>
    </w:p>
    <w:p w14:paraId="45BB947A" w14:textId="40039654" w:rsidR="00092121" w:rsidRDefault="00C4072F" w:rsidP="00092121">
      <w:pPr>
        <w:ind w:right="68" w:firstLine="709"/>
        <w:jc w:val="both"/>
        <w:rPr>
          <w:bCs/>
        </w:rPr>
      </w:pPr>
      <w:r>
        <w:rPr>
          <w:bCs/>
        </w:rPr>
        <w:t>-</w:t>
      </w:r>
      <w:r w:rsidR="00FD784E">
        <w:rPr>
          <w:bCs/>
        </w:rPr>
        <w:t> </w:t>
      </w:r>
      <w:r>
        <w:rPr>
          <w:bCs/>
        </w:rPr>
        <w:t xml:space="preserve">площадь земельного участка, </w:t>
      </w:r>
      <w:r w:rsidRPr="00C4072F">
        <w:rPr>
          <w:bCs/>
        </w:rPr>
        <w:t>покрываемая зоной с особыми условиями использования территории</w:t>
      </w:r>
      <w:r w:rsidR="00092121" w:rsidRPr="00092121">
        <w:rPr>
          <w:bCs/>
        </w:rPr>
        <w:t>, составляет «</w:t>
      </w:r>
      <w:r>
        <w:rPr>
          <w:bCs/>
        </w:rPr>
        <w:t>1</w:t>
      </w:r>
      <w:r w:rsidR="006737D7">
        <w:rPr>
          <w:bCs/>
        </w:rPr>
        <w:t>200</w:t>
      </w:r>
      <w:r w:rsidR="00092121" w:rsidRPr="00092121">
        <w:rPr>
          <w:bCs/>
        </w:rPr>
        <w:t xml:space="preserve">» кв.м. </w:t>
      </w:r>
      <w:r w:rsidR="006737D7">
        <w:rPr>
          <w:bCs/>
        </w:rPr>
        <w:t xml:space="preserve">ЗОУИТ47:00-6.307 Шестая </w:t>
      </w:r>
      <w:r w:rsidR="006737D7" w:rsidRPr="006737D7">
        <w:rPr>
          <w:bCs/>
        </w:rPr>
        <w:t xml:space="preserve">подзона приаэродромной </w:t>
      </w:r>
      <w:r>
        <w:rPr>
          <w:bCs/>
        </w:rPr>
        <w:t>территория аэродрома совместного базирования «Пушкин»;</w:t>
      </w:r>
    </w:p>
    <w:p w14:paraId="64B2E545" w14:textId="1050EF72" w:rsidR="00C4072F" w:rsidRDefault="00C4072F" w:rsidP="00092121">
      <w:pPr>
        <w:ind w:right="68" w:firstLine="709"/>
        <w:jc w:val="both"/>
        <w:rPr>
          <w:bCs/>
        </w:rPr>
      </w:pPr>
      <w:r>
        <w:rPr>
          <w:bCs/>
        </w:rPr>
        <w:t>-</w:t>
      </w:r>
      <w:r w:rsidR="00FD784E">
        <w:rPr>
          <w:bCs/>
        </w:rPr>
        <w:t> </w:t>
      </w:r>
      <w:r w:rsidR="002F6DB3" w:rsidRPr="002F6DB3">
        <w:rPr>
          <w:bCs/>
        </w:rPr>
        <w:t>площадь земельного участка, покрываемая зоной с особыми условиями использования территории, составляет «1200» кв.м. ЗОУИТ47:00-6.</w:t>
      </w:r>
      <w:r w:rsidR="002F6DB3">
        <w:rPr>
          <w:bCs/>
        </w:rPr>
        <w:t>294</w:t>
      </w:r>
      <w:r w:rsidR="002F6DB3" w:rsidRPr="002F6DB3">
        <w:rPr>
          <w:bCs/>
        </w:rPr>
        <w:t xml:space="preserve"> </w:t>
      </w:r>
      <w:r w:rsidR="002F6DB3">
        <w:rPr>
          <w:bCs/>
        </w:rPr>
        <w:t>Четвертая</w:t>
      </w:r>
      <w:r w:rsidR="002F6DB3" w:rsidRPr="002F6DB3">
        <w:rPr>
          <w:bCs/>
        </w:rPr>
        <w:t xml:space="preserve"> подзона приаэродромной территория аэродрома совместного базирования «Пушкин»</w:t>
      </w:r>
      <w:r w:rsidR="00CE761D">
        <w:rPr>
          <w:bCs/>
        </w:rPr>
        <w:t>;</w:t>
      </w:r>
    </w:p>
    <w:p w14:paraId="4EF32808" w14:textId="1A9A734A" w:rsidR="00FA368A" w:rsidRDefault="00FA368A" w:rsidP="00092121">
      <w:pPr>
        <w:ind w:right="68" w:firstLine="709"/>
        <w:jc w:val="both"/>
        <w:rPr>
          <w:bCs/>
        </w:rPr>
      </w:pPr>
      <w:r>
        <w:rPr>
          <w:bCs/>
        </w:rPr>
        <w:t xml:space="preserve">- </w:t>
      </w:r>
      <w:r w:rsidRPr="00FA368A">
        <w:rPr>
          <w:bCs/>
        </w:rPr>
        <w:t>площадь земельного участка, покрываемая зоной с особыми условиями использования территории, составляет «1200» кв.м. ЗОУИТ47:00-6.</w:t>
      </w:r>
      <w:r>
        <w:rPr>
          <w:bCs/>
        </w:rPr>
        <w:t>306</w:t>
      </w:r>
      <w:r w:rsidRPr="00FA368A">
        <w:rPr>
          <w:bCs/>
        </w:rPr>
        <w:t xml:space="preserve"> </w:t>
      </w:r>
      <w:r>
        <w:rPr>
          <w:bCs/>
        </w:rPr>
        <w:t>Третья</w:t>
      </w:r>
      <w:r w:rsidRPr="00FA368A">
        <w:rPr>
          <w:bCs/>
        </w:rPr>
        <w:t xml:space="preserve"> подзона приаэродромной территория аэродрома совместного базирования «Пушкин»</w:t>
      </w:r>
    </w:p>
    <w:p w14:paraId="534A2C41" w14:textId="32F19C11" w:rsidR="00CE761D" w:rsidRDefault="00CE761D" w:rsidP="00092121">
      <w:pPr>
        <w:ind w:right="68" w:firstLine="709"/>
        <w:jc w:val="both"/>
        <w:rPr>
          <w:bCs/>
        </w:rPr>
      </w:pPr>
      <w:r>
        <w:rPr>
          <w:bCs/>
        </w:rPr>
        <w:lastRenderedPageBreak/>
        <w:t>-</w:t>
      </w:r>
      <w:r w:rsidR="00FD784E">
        <w:rPr>
          <w:bCs/>
        </w:rPr>
        <w:t> </w:t>
      </w:r>
      <w:r w:rsidR="002F6DB3" w:rsidRPr="002F6DB3">
        <w:rPr>
          <w:bCs/>
        </w:rPr>
        <w:t>площадь земельного участка, покрываемая зоной с особыми условиями использования территории, составляет «1200» кв.м. ЗОУИТ47:00-6.30</w:t>
      </w:r>
      <w:r w:rsidR="002F6DB3">
        <w:rPr>
          <w:bCs/>
        </w:rPr>
        <w:t>5</w:t>
      </w:r>
      <w:r w:rsidR="002F6DB3" w:rsidRPr="002F6DB3">
        <w:rPr>
          <w:bCs/>
        </w:rPr>
        <w:t xml:space="preserve"> </w:t>
      </w:r>
      <w:r w:rsidR="002F6DB3">
        <w:rPr>
          <w:bCs/>
        </w:rPr>
        <w:t>Приаэродромная</w:t>
      </w:r>
      <w:r w:rsidR="002F6DB3" w:rsidRPr="002F6DB3">
        <w:rPr>
          <w:bCs/>
        </w:rPr>
        <w:t xml:space="preserve"> территория аэродрома совместного базирования «Пушкин»</w:t>
      </w:r>
      <w:r w:rsidR="00FA368A">
        <w:rPr>
          <w:bCs/>
        </w:rPr>
        <w:t>.</w:t>
      </w:r>
    </w:p>
    <w:p w14:paraId="4ADAE808" w14:textId="2E653D1D" w:rsidR="00FA368A" w:rsidRDefault="00FA368A" w:rsidP="00092121">
      <w:pPr>
        <w:ind w:right="68" w:firstLine="709"/>
        <w:jc w:val="both"/>
        <w:rPr>
          <w:bCs/>
        </w:rPr>
      </w:pPr>
      <w:r w:rsidRPr="00FA368A">
        <w:rPr>
          <w:bCs/>
        </w:rPr>
        <w:t>Земельный участок полностью расположен в границах зоны с особыми условиями использования территории:</w:t>
      </w:r>
    </w:p>
    <w:p w14:paraId="7CA61540" w14:textId="63C2D54A" w:rsidR="00FA368A" w:rsidRDefault="00FA368A" w:rsidP="00154D8E">
      <w:pPr>
        <w:ind w:right="68" w:firstLine="709"/>
        <w:jc w:val="both"/>
        <w:rPr>
          <w:bCs/>
        </w:rPr>
      </w:pPr>
      <w:r>
        <w:rPr>
          <w:bCs/>
        </w:rPr>
        <w:t xml:space="preserve">- </w:t>
      </w:r>
      <w:r w:rsidRPr="00FA368A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253</w:t>
      </w:r>
      <w:r w:rsidRPr="00FA368A">
        <w:rPr>
          <w:bCs/>
        </w:rPr>
        <w:t>» кв.м.</w:t>
      </w:r>
      <w:r>
        <w:rPr>
          <w:bCs/>
        </w:rPr>
        <w:t xml:space="preserve"> Охранная зона воздушной высоковольтной ЛЭП</w:t>
      </w:r>
      <w:r w:rsidR="00154D8E">
        <w:rPr>
          <w:bCs/>
        </w:rPr>
        <w:t>;</w:t>
      </w:r>
    </w:p>
    <w:p w14:paraId="17E88A0B" w14:textId="4B5E63BC" w:rsidR="00154D8E" w:rsidRDefault="00154D8E" w:rsidP="00154D8E">
      <w:pPr>
        <w:ind w:right="68" w:firstLine="709"/>
        <w:jc w:val="both"/>
        <w:rPr>
          <w:bCs/>
        </w:rPr>
      </w:pPr>
      <w:r>
        <w:rPr>
          <w:bCs/>
        </w:rPr>
        <w:t xml:space="preserve">- </w:t>
      </w:r>
      <w:r w:rsidRPr="00154D8E">
        <w:rPr>
          <w:bCs/>
        </w:rPr>
        <w:t>площадь земельного участка, покрываемая зоной с особыми условиями использования территории, составляет «25</w:t>
      </w:r>
      <w:r>
        <w:rPr>
          <w:bCs/>
        </w:rPr>
        <w:t>1</w:t>
      </w:r>
      <w:r w:rsidRPr="00154D8E">
        <w:rPr>
          <w:bCs/>
        </w:rPr>
        <w:t xml:space="preserve">» кв.м. Охранная зона </w:t>
      </w:r>
      <w:r>
        <w:rPr>
          <w:bCs/>
        </w:rPr>
        <w:t>кабеля связи.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4531339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427994" w:rsidRPr="00427994">
        <w:rPr>
          <w:lang w:eastAsia="x-none"/>
        </w:rPr>
        <w:t>953 161 (девятьсот пятьдесят три тысячи сто шестьдесят один) рубл</w:t>
      </w:r>
      <w:r w:rsidR="00427994">
        <w:rPr>
          <w:lang w:eastAsia="x-none"/>
        </w:rPr>
        <w:t>ь</w:t>
      </w:r>
      <w:r w:rsidRPr="00824775">
        <w:rPr>
          <w:lang w:eastAsia="x-none"/>
        </w:rPr>
        <w:t xml:space="preserve">. </w:t>
      </w:r>
    </w:p>
    <w:p w14:paraId="0E1E802D" w14:textId="541432E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FE5265">
        <w:rPr>
          <w:lang w:eastAsia="x-none"/>
        </w:rPr>
        <w:t>190 632</w:t>
      </w:r>
      <w:r w:rsidR="00DC3A32">
        <w:rPr>
          <w:lang w:eastAsia="x-none"/>
        </w:rPr>
        <w:t xml:space="preserve"> </w:t>
      </w:r>
      <w:r w:rsidR="00DC3A32" w:rsidRPr="00DC3A32">
        <w:rPr>
          <w:lang w:eastAsia="x-none"/>
        </w:rPr>
        <w:t>(</w:t>
      </w:r>
      <w:r w:rsidR="00FE5265" w:rsidRPr="00FE5265">
        <w:rPr>
          <w:lang w:eastAsia="x-none"/>
        </w:rPr>
        <w:t>сто девяносто тысяч шестьсот тридцать два</w:t>
      </w:r>
      <w:r w:rsidR="00DC3A32" w:rsidRPr="00DC3A32">
        <w:rPr>
          <w:lang w:eastAsia="x-none"/>
        </w:rPr>
        <w:t>) рубл</w:t>
      </w:r>
      <w:r w:rsidR="00FE5265">
        <w:rPr>
          <w:lang w:eastAsia="x-none"/>
        </w:rPr>
        <w:t>я</w:t>
      </w:r>
      <w:r w:rsidR="00DC3A32" w:rsidRPr="00DC3A32">
        <w:rPr>
          <w:lang w:eastAsia="x-none"/>
        </w:rPr>
        <w:t xml:space="preserve"> </w:t>
      </w:r>
      <w:r w:rsidR="00FE5265">
        <w:rPr>
          <w:lang w:eastAsia="x-none"/>
        </w:rPr>
        <w:t>20</w:t>
      </w:r>
      <w:r w:rsidR="00DC3A32" w:rsidRPr="00DC3A32">
        <w:rPr>
          <w:lang w:eastAsia="x-none"/>
        </w:rPr>
        <w:t xml:space="preserve"> копеек</w:t>
      </w:r>
      <w:r w:rsidRPr="00824775">
        <w:rPr>
          <w:lang w:eastAsia="x-none"/>
        </w:rPr>
        <w:t>.</w:t>
      </w:r>
    </w:p>
    <w:p w14:paraId="4327FBB7" w14:textId="5B4B9BFF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6475FA">
        <w:rPr>
          <w:lang w:eastAsia="x-none"/>
        </w:rPr>
        <w:t>28 594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6475FA" w:rsidRPr="006475FA">
        <w:rPr>
          <w:lang w:eastAsia="x-none"/>
        </w:rPr>
        <w:t>двадцать восемь тысяч пятьсот девяносто четыре</w:t>
      </w:r>
      <w:r w:rsidRPr="00824775">
        <w:rPr>
          <w:lang w:eastAsia="x-none"/>
        </w:rPr>
        <w:t>) рубл</w:t>
      </w:r>
      <w:r w:rsidR="001E18A3">
        <w:rPr>
          <w:lang w:eastAsia="x-none"/>
        </w:rPr>
        <w:t>я</w:t>
      </w:r>
      <w:r w:rsidR="002C1465">
        <w:rPr>
          <w:lang w:eastAsia="x-none"/>
        </w:rPr>
        <w:t xml:space="preserve"> </w:t>
      </w:r>
      <w:r w:rsidR="006475FA">
        <w:rPr>
          <w:lang w:eastAsia="x-none"/>
        </w:rPr>
        <w:t>83</w:t>
      </w:r>
      <w:r w:rsidRPr="00824775">
        <w:rPr>
          <w:lang w:eastAsia="x-none"/>
        </w:rPr>
        <w:t xml:space="preserve"> копе</w:t>
      </w:r>
      <w:r w:rsidR="006475FA">
        <w:rPr>
          <w:lang w:eastAsia="x-none"/>
        </w:rPr>
        <w:t>йки</w:t>
      </w:r>
      <w:r w:rsidRPr="00824775">
        <w:rPr>
          <w:lang w:eastAsia="x-none"/>
        </w:rPr>
        <w:t>.</w:t>
      </w:r>
    </w:p>
    <w:p w14:paraId="4F8D6FD6" w14:textId="095B2E75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C4072F">
        <w:rPr>
          <w:bCs/>
          <w:lang w:eastAsia="x-none"/>
        </w:rPr>
        <w:t>20 лет</w:t>
      </w:r>
      <w:r w:rsidRPr="00824775">
        <w:rPr>
          <w:bCs/>
          <w:lang w:eastAsia="x-none"/>
        </w:rPr>
        <w:t>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1D4A0923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0C7FE4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76F522CC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5C7C79B6" w14:textId="55DA6A9E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0C7FE4" w:rsidRPr="000C7FE4">
        <w:rPr>
          <w:bCs/>
        </w:rPr>
        <w:t>отсутствует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151EC117" w14:textId="06AD744A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1E4495E4" w14:textId="4C63E8CE" w:rsidR="00824775" w:rsidRPr="00342C22" w:rsidRDefault="00824775" w:rsidP="00824775">
      <w:pPr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  <w:r w:rsidR="008817DF" w:rsidRPr="008817DF">
        <w:t xml:space="preserve"> Земельный участок </w:t>
      </w:r>
      <w:r w:rsidR="008817DF">
        <w:t>расположен</w:t>
      </w:r>
      <w:r w:rsidR="008817DF" w:rsidRPr="008817DF">
        <w:t xml:space="preserve"> </w:t>
      </w:r>
      <w:r w:rsidR="008817DF">
        <w:t>в</w:t>
      </w:r>
      <w:r w:rsidR="008817DF" w:rsidRPr="008817DF">
        <w:t xml:space="preserve"> территориальной зоне </w:t>
      </w:r>
      <w:r w:rsidR="00971BCA">
        <w:t>Т</w:t>
      </w:r>
      <w:r w:rsidR="008817DF" w:rsidRPr="008817DF">
        <w:t>Ж-1 Зона застройки индивидуальными жилыми домами</w:t>
      </w:r>
      <w:r w:rsidR="008817DF"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971BCA" w:rsidRPr="008817DF" w14:paraId="7B27866C" w14:textId="77777777" w:rsidTr="00277FF9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2D58E830" w14:textId="77777777" w:rsidR="00971BCA" w:rsidRPr="00C159EA" w:rsidRDefault="00971BCA" w:rsidP="00277FF9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46D041F8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3E7F9A57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50CDE1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F6F525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971BCA" w:rsidRPr="008817DF" w14:paraId="35EB8F00" w14:textId="77777777" w:rsidTr="00277FF9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365CD259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21FE7694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3A17C1DD" w14:textId="77777777" w:rsidR="00971BCA" w:rsidRPr="00C159EA" w:rsidRDefault="00971BCA" w:rsidP="00277FF9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3C751AAB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738CF4B9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955EE9" w14:textId="77777777" w:rsidR="00971BCA" w:rsidRPr="008817DF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66D44E" w14:textId="77777777" w:rsidR="00971BCA" w:rsidRDefault="00971BCA" w:rsidP="00277FF9">
            <w:pPr>
              <w:jc w:val="center"/>
              <w:rPr>
                <w:sz w:val="20"/>
                <w:szCs w:val="20"/>
              </w:rPr>
            </w:pPr>
          </w:p>
        </w:tc>
      </w:tr>
      <w:tr w:rsidR="00971BCA" w:rsidRPr="008817DF" w14:paraId="60265FBC" w14:textId="77777777" w:rsidTr="00277FF9">
        <w:tc>
          <w:tcPr>
            <w:tcW w:w="704" w:type="dxa"/>
            <w:shd w:val="clear" w:color="auto" w:fill="auto"/>
          </w:tcPr>
          <w:p w14:paraId="28D9D010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470FC037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 w:rsidRPr="00BD403C"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1417" w:type="dxa"/>
            <w:shd w:val="clear" w:color="auto" w:fill="auto"/>
          </w:tcPr>
          <w:p w14:paraId="424DE5FB" w14:textId="77777777" w:rsidR="00971BCA" w:rsidRPr="006410DD" w:rsidRDefault="00971BCA" w:rsidP="00277FF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земельных участков с в</w:t>
            </w:r>
            <w:r w:rsidRPr="00862C8E">
              <w:rPr>
                <w:sz w:val="18"/>
                <w:szCs w:val="18"/>
              </w:rPr>
              <w:t>ид</w:t>
            </w:r>
            <w:r>
              <w:rPr>
                <w:sz w:val="18"/>
                <w:szCs w:val="18"/>
              </w:rPr>
              <w:t xml:space="preserve">ом </w:t>
            </w:r>
            <w:r w:rsidRPr="00862C8E">
              <w:rPr>
                <w:sz w:val="18"/>
                <w:szCs w:val="18"/>
              </w:rPr>
              <w:t>разрешенного использования с кодом 2.1</w:t>
            </w:r>
            <w:r>
              <w:rPr>
                <w:sz w:val="18"/>
                <w:szCs w:val="18"/>
              </w:rPr>
              <w:t xml:space="preserve">, кв.м. Минимальное значение 600кв.м. Максимальное значение 1500*кв.м. </w:t>
            </w:r>
            <w:r w:rsidRPr="006F1772">
              <w:rPr>
                <w:sz w:val="18"/>
                <w:szCs w:val="18"/>
              </w:rPr>
              <w:t>Площадь земельных участков с видом разрешенного использования с кодом 2.</w:t>
            </w:r>
            <w:r>
              <w:rPr>
                <w:sz w:val="18"/>
                <w:szCs w:val="18"/>
              </w:rPr>
              <w:t>2</w:t>
            </w:r>
            <w:r w:rsidRPr="006F1772">
              <w:rPr>
                <w:sz w:val="18"/>
                <w:szCs w:val="18"/>
              </w:rPr>
              <w:t>, кв.м. М</w:t>
            </w:r>
            <w:r>
              <w:rPr>
                <w:sz w:val="18"/>
                <w:szCs w:val="18"/>
              </w:rPr>
              <w:t>инимальное</w:t>
            </w:r>
            <w:r w:rsidRPr="006F1772">
              <w:rPr>
                <w:sz w:val="18"/>
                <w:szCs w:val="18"/>
              </w:rPr>
              <w:t xml:space="preserve"> значение </w:t>
            </w:r>
            <w:r>
              <w:rPr>
                <w:sz w:val="18"/>
                <w:szCs w:val="18"/>
              </w:rPr>
              <w:t>1000</w:t>
            </w:r>
            <w:r w:rsidRPr="006F1772">
              <w:rPr>
                <w:sz w:val="18"/>
                <w:szCs w:val="18"/>
              </w:rPr>
              <w:t xml:space="preserve">кв.м. Максимальное значение </w:t>
            </w:r>
            <w:r>
              <w:rPr>
                <w:sz w:val="18"/>
                <w:szCs w:val="18"/>
              </w:rPr>
              <w:t>2500</w:t>
            </w:r>
            <w:r w:rsidRPr="006F1772">
              <w:rPr>
                <w:sz w:val="18"/>
                <w:szCs w:val="18"/>
              </w:rPr>
              <w:t>кв.м.</w:t>
            </w:r>
            <w:r>
              <w:rPr>
                <w:sz w:val="18"/>
                <w:szCs w:val="18"/>
              </w:rPr>
              <w:t xml:space="preserve"> Площади земельных участков для иных видов разрешенного использования, кв. м. не подлежит установлению</w:t>
            </w:r>
          </w:p>
        </w:tc>
        <w:tc>
          <w:tcPr>
            <w:tcW w:w="1560" w:type="dxa"/>
          </w:tcPr>
          <w:p w14:paraId="417CAC85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Минимальные отступы от границ земельных участков в целях определения мест </w:t>
            </w:r>
            <w:r w:rsidRPr="006F1772">
              <w:rPr>
                <w:sz w:val="18"/>
                <w:szCs w:val="18"/>
              </w:rPr>
              <w:t>допустимого размещения зданий, строений, сооружений, за пределами которых запрещено строительство зданий, строений, сооружений</w:t>
            </w:r>
            <w:r>
              <w:rPr>
                <w:sz w:val="18"/>
                <w:szCs w:val="18"/>
              </w:rPr>
              <w:t xml:space="preserve">, 3м. Минимальный отступ от границ красных линий улиц, проездов до зданий, строений, сооружений, 6м. Минимальный отступ от границы земельного участка, выходящей на улично-дорожную сеть, 6м </w:t>
            </w:r>
            <w:r>
              <w:rPr>
                <w:sz w:val="18"/>
                <w:szCs w:val="18"/>
              </w:rPr>
              <w:sym w:font="Symbol" w:char="F03C"/>
            </w:r>
            <w:r>
              <w:rPr>
                <w:sz w:val="18"/>
                <w:szCs w:val="18"/>
              </w:rPr>
              <w:t>**</w:t>
            </w:r>
            <w:r>
              <w:rPr>
                <w:sz w:val="18"/>
                <w:szCs w:val="18"/>
              </w:rPr>
              <w:sym w:font="Symbol" w:char="F03E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6F33817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этажность, </w:t>
            </w:r>
            <w:r w:rsidRPr="008817DF">
              <w:rPr>
                <w:sz w:val="18"/>
                <w:szCs w:val="18"/>
              </w:rPr>
              <w:t>3</w:t>
            </w:r>
            <w:r w:rsidRPr="006410DD">
              <w:rPr>
                <w:sz w:val="18"/>
                <w:szCs w:val="18"/>
              </w:rPr>
              <w:t xml:space="preserve"> этажа</w:t>
            </w:r>
            <w:r>
              <w:rPr>
                <w:sz w:val="18"/>
                <w:szCs w:val="18"/>
              </w:rPr>
              <w:t>. Предельная высота зданий, строений, сооружений, 20м.</w:t>
            </w:r>
          </w:p>
        </w:tc>
        <w:tc>
          <w:tcPr>
            <w:tcW w:w="1843" w:type="dxa"/>
            <w:shd w:val="clear" w:color="auto" w:fill="auto"/>
          </w:tcPr>
          <w:p w14:paraId="1BBBB907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разрешенного использования с кодом 2.1, 3</w:t>
            </w:r>
            <w:r w:rsidRPr="006410DD">
              <w:rPr>
                <w:sz w:val="18"/>
                <w:szCs w:val="18"/>
              </w:rPr>
              <w:t>0%</w:t>
            </w:r>
            <w:r>
              <w:rPr>
                <w:sz w:val="18"/>
                <w:szCs w:val="18"/>
              </w:rPr>
              <w:t xml:space="preserve">. Вида </w:t>
            </w:r>
            <w:r w:rsidRPr="00BD403C">
              <w:rPr>
                <w:sz w:val="18"/>
                <w:szCs w:val="18"/>
              </w:rPr>
              <w:t>разрешенного использования с кодом 2.</w:t>
            </w:r>
            <w:r>
              <w:rPr>
                <w:sz w:val="18"/>
                <w:szCs w:val="18"/>
              </w:rPr>
              <w:t xml:space="preserve">2, 40%. </w:t>
            </w:r>
            <w:r w:rsidRPr="0057296C">
              <w:rPr>
                <w:sz w:val="18"/>
                <w:szCs w:val="18"/>
              </w:rPr>
              <w:t xml:space="preserve">Вида разрешенного использования с кодом </w:t>
            </w:r>
            <w:r>
              <w:rPr>
                <w:sz w:val="18"/>
                <w:szCs w:val="18"/>
              </w:rPr>
              <w:t>3</w:t>
            </w:r>
            <w:r w:rsidRPr="0057296C">
              <w:rPr>
                <w:sz w:val="18"/>
                <w:szCs w:val="18"/>
              </w:rPr>
              <w:t>.1, %</w:t>
            </w:r>
            <w:r>
              <w:rPr>
                <w:sz w:val="18"/>
                <w:szCs w:val="18"/>
              </w:rPr>
              <w:t xml:space="preserve"> не подлежит установлению</w:t>
            </w:r>
            <w:r w:rsidRPr="0057296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Для иных видов разрешенного использования, 60%</w:t>
            </w:r>
          </w:p>
        </w:tc>
        <w:tc>
          <w:tcPr>
            <w:tcW w:w="1701" w:type="dxa"/>
            <w:shd w:val="clear" w:color="auto" w:fill="auto"/>
          </w:tcPr>
          <w:p w14:paraId="0BB5FFE3" w14:textId="77777777" w:rsidR="00971BCA" w:rsidRPr="008817DF" w:rsidRDefault="00971BCA" w:rsidP="00277FF9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13892BDD" w14:textId="77777777" w:rsidR="0089473A" w:rsidRPr="0089473A" w:rsidRDefault="0089473A" w:rsidP="0089473A">
      <w:pPr>
        <w:jc w:val="both"/>
        <w:rPr>
          <w:sz w:val="18"/>
          <w:szCs w:val="18"/>
        </w:rPr>
      </w:pPr>
      <w:r w:rsidRPr="0089473A">
        <w:rPr>
          <w:sz w:val="18"/>
          <w:szCs w:val="18"/>
        </w:rPr>
        <w:t>* - за исключением случая уточнения местоположения границы ранее учтенного земельного участка (в случае уточнения местоположения границы ранее учтенного земельного участка предельные (минимальные и (или) максимальные) размеры земельных участков ее подлежат установлению).</w:t>
      </w:r>
    </w:p>
    <w:p w14:paraId="00F29F5E" w14:textId="290709A7" w:rsidR="0024475D" w:rsidRPr="0089473A" w:rsidRDefault="0089473A" w:rsidP="0089473A">
      <w:pPr>
        <w:jc w:val="both"/>
        <w:rPr>
          <w:sz w:val="18"/>
          <w:szCs w:val="18"/>
        </w:rPr>
      </w:pPr>
      <w:r>
        <w:rPr>
          <w:sz w:val="18"/>
          <w:szCs w:val="18"/>
        </w:rPr>
        <w:sym w:font="Symbol" w:char="F03C"/>
      </w:r>
      <w:r w:rsidRPr="0089473A">
        <w:rPr>
          <w:sz w:val="18"/>
          <w:szCs w:val="18"/>
        </w:rPr>
        <w:t>**</w:t>
      </w:r>
      <w:r>
        <w:rPr>
          <w:sz w:val="18"/>
          <w:szCs w:val="18"/>
        </w:rPr>
        <w:sym w:font="Symbol" w:char="F03E"/>
      </w:r>
      <w:r w:rsidRPr="0089473A">
        <w:rPr>
          <w:sz w:val="18"/>
          <w:szCs w:val="18"/>
        </w:rPr>
        <w:t xml:space="preserve"> - параметр не действует в случае утверждения границ красных линий улиц, проездов до зданий, строений, сооружений в соответствии с требованиями действующего законодательства Российской Федерации</w:t>
      </w:r>
      <w:r w:rsidR="004428AA">
        <w:rPr>
          <w:sz w:val="18"/>
          <w:szCs w:val="18"/>
        </w:rPr>
        <w:t>.</w:t>
      </w:r>
    </w:p>
    <w:p w14:paraId="2F07F8D7" w14:textId="77777777" w:rsidR="009F2706" w:rsidRPr="009F2706" w:rsidRDefault="009F2706" w:rsidP="009F2706">
      <w:pPr>
        <w:ind w:left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3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4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5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6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</w:t>
      </w:r>
      <w:r w:rsidR="007F22E2" w:rsidRPr="007F22E2">
        <w:lastRenderedPageBreak/>
        <w:t xml:space="preserve">телекоммуникационной сети «Интернет» </w:t>
      </w:r>
      <w:hyperlink r:id="rId17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>установленном настоящей статьей порядке договора купли-продажи или договора аренды 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lastRenderedPageBreak/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</w:t>
      </w:r>
      <w:r w:rsidRPr="00A646F5">
        <w:lastRenderedPageBreak/>
        <w:t xml:space="preserve">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8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lastRenderedPageBreak/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67D6B"/>
    <w:rsid w:val="000730A5"/>
    <w:rsid w:val="00092121"/>
    <w:rsid w:val="000B25EE"/>
    <w:rsid w:val="000B6252"/>
    <w:rsid w:val="000C6344"/>
    <w:rsid w:val="000C7FE4"/>
    <w:rsid w:val="000F0507"/>
    <w:rsid w:val="00125405"/>
    <w:rsid w:val="00126BFE"/>
    <w:rsid w:val="0013300B"/>
    <w:rsid w:val="0015461B"/>
    <w:rsid w:val="00154D8E"/>
    <w:rsid w:val="00185B55"/>
    <w:rsid w:val="00190066"/>
    <w:rsid w:val="001931DB"/>
    <w:rsid w:val="0019704A"/>
    <w:rsid w:val="001C3587"/>
    <w:rsid w:val="001E18A3"/>
    <w:rsid w:val="00201E91"/>
    <w:rsid w:val="00210E54"/>
    <w:rsid w:val="00216B34"/>
    <w:rsid w:val="00230AE2"/>
    <w:rsid w:val="0024475D"/>
    <w:rsid w:val="00261322"/>
    <w:rsid w:val="002743AF"/>
    <w:rsid w:val="00275A0C"/>
    <w:rsid w:val="002820A6"/>
    <w:rsid w:val="00283950"/>
    <w:rsid w:val="002843B4"/>
    <w:rsid w:val="00287BD2"/>
    <w:rsid w:val="002A0008"/>
    <w:rsid w:val="002A3240"/>
    <w:rsid w:val="002A38BC"/>
    <w:rsid w:val="002A6F7C"/>
    <w:rsid w:val="002C1465"/>
    <w:rsid w:val="002D0101"/>
    <w:rsid w:val="002D3DB3"/>
    <w:rsid w:val="002D65C0"/>
    <w:rsid w:val="002E1626"/>
    <w:rsid w:val="002F6DB3"/>
    <w:rsid w:val="00306428"/>
    <w:rsid w:val="00306BFF"/>
    <w:rsid w:val="00320D7F"/>
    <w:rsid w:val="00324AF5"/>
    <w:rsid w:val="00334CC1"/>
    <w:rsid w:val="00336C50"/>
    <w:rsid w:val="003374A2"/>
    <w:rsid w:val="00342C22"/>
    <w:rsid w:val="0034710E"/>
    <w:rsid w:val="00377CB8"/>
    <w:rsid w:val="00381E28"/>
    <w:rsid w:val="00383F32"/>
    <w:rsid w:val="003A4249"/>
    <w:rsid w:val="003E42EA"/>
    <w:rsid w:val="0040226B"/>
    <w:rsid w:val="00427994"/>
    <w:rsid w:val="0043417F"/>
    <w:rsid w:val="004428AA"/>
    <w:rsid w:val="00472DD8"/>
    <w:rsid w:val="004753B8"/>
    <w:rsid w:val="00477813"/>
    <w:rsid w:val="004853B8"/>
    <w:rsid w:val="004861EF"/>
    <w:rsid w:val="004A0F3F"/>
    <w:rsid w:val="004B5920"/>
    <w:rsid w:val="004B5E66"/>
    <w:rsid w:val="004E234A"/>
    <w:rsid w:val="00502827"/>
    <w:rsid w:val="00506E7D"/>
    <w:rsid w:val="00507395"/>
    <w:rsid w:val="00543449"/>
    <w:rsid w:val="00560DEC"/>
    <w:rsid w:val="00562B7A"/>
    <w:rsid w:val="00567D5C"/>
    <w:rsid w:val="00594BB3"/>
    <w:rsid w:val="005A357E"/>
    <w:rsid w:val="005B1D9B"/>
    <w:rsid w:val="005F23E7"/>
    <w:rsid w:val="00600218"/>
    <w:rsid w:val="00612E14"/>
    <w:rsid w:val="0062003E"/>
    <w:rsid w:val="006410DD"/>
    <w:rsid w:val="006475FA"/>
    <w:rsid w:val="006513D9"/>
    <w:rsid w:val="00655C32"/>
    <w:rsid w:val="0067256C"/>
    <w:rsid w:val="006737D7"/>
    <w:rsid w:val="00674440"/>
    <w:rsid w:val="006A3F36"/>
    <w:rsid w:val="006B3C15"/>
    <w:rsid w:val="006B43F5"/>
    <w:rsid w:val="006C060C"/>
    <w:rsid w:val="00701435"/>
    <w:rsid w:val="00716C72"/>
    <w:rsid w:val="00717E97"/>
    <w:rsid w:val="007456F2"/>
    <w:rsid w:val="007460B9"/>
    <w:rsid w:val="00747F07"/>
    <w:rsid w:val="0075185A"/>
    <w:rsid w:val="0078141D"/>
    <w:rsid w:val="007853FD"/>
    <w:rsid w:val="00795032"/>
    <w:rsid w:val="007A106D"/>
    <w:rsid w:val="007B2822"/>
    <w:rsid w:val="007B32DB"/>
    <w:rsid w:val="007B3BE1"/>
    <w:rsid w:val="007F22E2"/>
    <w:rsid w:val="007F3CF5"/>
    <w:rsid w:val="00823FFA"/>
    <w:rsid w:val="00824775"/>
    <w:rsid w:val="00831E2C"/>
    <w:rsid w:val="0084239E"/>
    <w:rsid w:val="008567EE"/>
    <w:rsid w:val="00871E4E"/>
    <w:rsid w:val="00875FE6"/>
    <w:rsid w:val="008817DF"/>
    <w:rsid w:val="0089473A"/>
    <w:rsid w:val="008A1DB3"/>
    <w:rsid w:val="008A240E"/>
    <w:rsid w:val="008A7519"/>
    <w:rsid w:val="008B718B"/>
    <w:rsid w:val="008E2143"/>
    <w:rsid w:val="008F0043"/>
    <w:rsid w:val="009016CA"/>
    <w:rsid w:val="00955E63"/>
    <w:rsid w:val="00956E7D"/>
    <w:rsid w:val="00971BCA"/>
    <w:rsid w:val="0097474C"/>
    <w:rsid w:val="00981A96"/>
    <w:rsid w:val="00983B73"/>
    <w:rsid w:val="009921B1"/>
    <w:rsid w:val="00997FCB"/>
    <w:rsid w:val="009A1233"/>
    <w:rsid w:val="009B5E04"/>
    <w:rsid w:val="009D385E"/>
    <w:rsid w:val="009F2706"/>
    <w:rsid w:val="00A01168"/>
    <w:rsid w:val="00A14129"/>
    <w:rsid w:val="00A1799C"/>
    <w:rsid w:val="00A21964"/>
    <w:rsid w:val="00A646F5"/>
    <w:rsid w:val="00A94537"/>
    <w:rsid w:val="00AB5713"/>
    <w:rsid w:val="00AB7C9B"/>
    <w:rsid w:val="00AC2CDA"/>
    <w:rsid w:val="00AC33FE"/>
    <w:rsid w:val="00AE1974"/>
    <w:rsid w:val="00B00437"/>
    <w:rsid w:val="00B226C4"/>
    <w:rsid w:val="00B25493"/>
    <w:rsid w:val="00B35B68"/>
    <w:rsid w:val="00B522CE"/>
    <w:rsid w:val="00B7168E"/>
    <w:rsid w:val="00B82F2A"/>
    <w:rsid w:val="00B84CDD"/>
    <w:rsid w:val="00BA2E4E"/>
    <w:rsid w:val="00BA3750"/>
    <w:rsid w:val="00BA759C"/>
    <w:rsid w:val="00BB614C"/>
    <w:rsid w:val="00BD6040"/>
    <w:rsid w:val="00BE6ABF"/>
    <w:rsid w:val="00C01183"/>
    <w:rsid w:val="00C050DA"/>
    <w:rsid w:val="00C07F50"/>
    <w:rsid w:val="00C159EA"/>
    <w:rsid w:val="00C26543"/>
    <w:rsid w:val="00C4072F"/>
    <w:rsid w:val="00C44E9B"/>
    <w:rsid w:val="00C5208D"/>
    <w:rsid w:val="00C56334"/>
    <w:rsid w:val="00C6241B"/>
    <w:rsid w:val="00C97345"/>
    <w:rsid w:val="00CA6224"/>
    <w:rsid w:val="00CA6D95"/>
    <w:rsid w:val="00CA7539"/>
    <w:rsid w:val="00CB7890"/>
    <w:rsid w:val="00CD7F87"/>
    <w:rsid w:val="00CE73DE"/>
    <w:rsid w:val="00CE761D"/>
    <w:rsid w:val="00CF24C7"/>
    <w:rsid w:val="00D22B45"/>
    <w:rsid w:val="00D26908"/>
    <w:rsid w:val="00D45343"/>
    <w:rsid w:val="00D70798"/>
    <w:rsid w:val="00D73EEA"/>
    <w:rsid w:val="00D744E7"/>
    <w:rsid w:val="00D8752E"/>
    <w:rsid w:val="00D91641"/>
    <w:rsid w:val="00DA35FA"/>
    <w:rsid w:val="00DB113C"/>
    <w:rsid w:val="00DC3A32"/>
    <w:rsid w:val="00DD6C31"/>
    <w:rsid w:val="00DE4232"/>
    <w:rsid w:val="00E04D72"/>
    <w:rsid w:val="00E063E8"/>
    <w:rsid w:val="00E22E3A"/>
    <w:rsid w:val="00E35B55"/>
    <w:rsid w:val="00E41D6F"/>
    <w:rsid w:val="00E43966"/>
    <w:rsid w:val="00E70D32"/>
    <w:rsid w:val="00E8479A"/>
    <w:rsid w:val="00EA1AA2"/>
    <w:rsid w:val="00ED7728"/>
    <w:rsid w:val="00F05712"/>
    <w:rsid w:val="00F105BF"/>
    <w:rsid w:val="00F26043"/>
    <w:rsid w:val="00F4107A"/>
    <w:rsid w:val="00F61CE3"/>
    <w:rsid w:val="00F674DC"/>
    <w:rsid w:val="00F71D2C"/>
    <w:rsid w:val="00F932DE"/>
    <w:rsid w:val="00FA1B8D"/>
    <w:rsid w:val="00FA1E88"/>
    <w:rsid w:val="00FA368A"/>
    <w:rsid w:val="00FC1C2C"/>
    <w:rsid w:val="00FD784E"/>
    <w:rsid w:val="00FE5265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18" Type="http://schemas.openxmlformats.org/officeDocument/2006/relationships/hyperlink" Target="https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https://www.rts-tender.ru" TargetMode="External"/><Relationship Id="rId17" Type="http://schemas.openxmlformats.org/officeDocument/2006/relationships/hyperlink" Target="https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CB9511C16F1CDE76982A45DB26F9A8505EC6DE3B7EDB690D7BC946A8D1EB4EE8BAD8CAC5BD200649183CD614B902EC352620BE34A9BC424QAJ2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adm.gtn.ru" TargetMode="External"/><Relationship Id="rId11" Type="http://schemas.openxmlformats.org/officeDocument/2006/relationships/hyperlink" Target="https://torgi.gov.ru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0" Type="http://schemas.openxmlformats.org/officeDocument/2006/relationships/hyperlink" Target="https://www.rts-tender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B52D30933C2CCCC3D0CC53DC0516209E056Q9J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4275</Words>
  <Characters>24370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49</cp:revision>
  <cp:lastPrinted>2025-03-14T11:19:00Z</cp:lastPrinted>
  <dcterms:created xsi:type="dcterms:W3CDTF">2025-03-20T05:44:00Z</dcterms:created>
  <dcterms:modified xsi:type="dcterms:W3CDTF">2025-03-26T08:17:00Z</dcterms:modified>
</cp:coreProperties>
</file>