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AE392" w14:textId="3589C68D" w:rsidR="00587E9B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53289699" w14:textId="24BED600" w:rsidR="008B63B6" w:rsidRDefault="001B253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253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29.12.2023 № 2380 до 31.12.2024 включительно установлены особенности передачи объекта долевого строительства участнику долевого строительства В частности: срок передачи объекта долевого строительства застройщиком и принятия его участником долевого строительства по соглашению сторон может быть изменен в отдельности от других объектов долевого строительства, входящих в состав того же многоквартирного дома, но не ранее чем после получения разрешения на ввод в эксплуатацию и без внесения изменений в проектную декларацию; при обнаружении существенных нарушений требований к качеству объекта долевого строительства, подтвержденных актом осмотра, участник долевого строительства вправе отказаться от подписания передаточных документов и предъявить требование о безвозмездном устранении выявленных недостатков либо отказаться от исполнения договора и предъявить требования о возврате денежных средств и уплате процентов; требование о безвозмездном устранении выявленных недостатков должно быть удовлетворено застройщиком в срок не более 60 календарных дней со дня подписания передаточного акта, а в случае обнаружения существенных нарушений - в срок не более 60 календарных дней со дня составления акта осмотра с участием специалиста; требования о соразмерном уменьшении цены договора или возмещении расходов участника долевого строительства на устранение выявленных недостатков подлежат удовлетворению застройщиком в течение 10 рабочих дней со дня их предъявления участником долевого строительства.</w:t>
      </w:r>
    </w:p>
    <w:p w14:paraId="48249285" w14:textId="77777777" w:rsidR="001B2532" w:rsidRPr="001B2532" w:rsidRDefault="001B2532" w:rsidP="001B2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65D3F1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5AAC6080" w14:textId="1CA25507" w:rsidR="008B63B6" w:rsidRDefault="001B253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253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29.12.2023 № 2382 на 2024 год продлен особый порядок регулирования жилищных правоотношений: начисление и уплата пени за просрочку оплаты </w:t>
      </w:r>
      <w:proofErr w:type="spellStart"/>
      <w:r w:rsidRPr="001B2532">
        <w:rPr>
          <w:rFonts w:ascii="Times New Roman" w:hAnsi="Times New Roman" w:cs="Times New Roman"/>
          <w:sz w:val="28"/>
          <w:szCs w:val="28"/>
        </w:rPr>
        <w:t>жилищнокоммунальных</w:t>
      </w:r>
      <w:proofErr w:type="spellEnd"/>
      <w:r w:rsidRPr="001B2532">
        <w:rPr>
          <w:rFonts w:ascii="Times New Roman" w:hAnsi="Times New Roman" w:cs="Times New Roman"/>
          <w:sz w:val="28"/>
          <w:szCs w:val="28"/>
        </w:rPr>
        <w:t xml:space="preserve"> услуг будут осуществляться исходя из ключевой ставки Банка России, действующей по состоянию на 27.02.2022.</w:t>
      </w:r>
    </w:p>
    <w:p w14:paraId="06B6415B" w14:textId="77777777" w:rsidR="001B2532" w:rsidRDefault="001B2532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99D33A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607DA17A" w14:textId="42D94D84" w:rsidR="008B63B6" w:rsidRDefault="001B253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2532">
        <w:rPr>
          <w:rFonts w:ascii="Times New Roman" w:hAnsi="Times New Roman" w:cs="Times New Roman"/>
          <w:sz w:val="28"/>
          <w:szCs w:val="28"/>
        </w:rPr>
        <w:t xml:space="preserve">Федеральным законом от 25.12.2023 №661-ФЗ уполномоченный по правам человека в Российской Федерации и уполномоченные по правам человека в регионах включены в государственную систему оказания бесплатной юридической помощи. Предусмотрено, что Уполномоченный по правам человека в Российской Федерации и </w:t>
      </w:r>
      <w:r w:rsidRPr="001B2532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по правам человека в субъектах Российской Федерации содействуют оказанию бесплатной юридической помощи в пределах своей компетенции. Также закреплено, что Минюст разработает и утвердит стандарт оказания бесплатной юридической помощи государственными юридическими бюро, адвокатами, нотариусами, юридическими клиниками, негосударственными центрами бесплатной юридической помощи и другими субъектами, оказывающими бесплатную юридическую помощь. Кроме этого, документом внесены изменения в Федеральный закон «О воинской обязанности и военной службе», расширяющие перечень лиц, которые вправе представлять интересы призывников: исключено указание на то, что от имени гражданина может выступать только его законный представитель. </w:t>
      </w:r>
    </w:p>
    <w:p w14:paraId="3678B35C" w14:textId="77777777" w:rsidR="008B63B6" w:rsidRDefault="008B63B6" w:rsidP="008B63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5CA5A6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21CB2B15" w14:textId="77777777" w:rsidR="001B2532" w:rsidRDefault="001B253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2532">
        <w:rPr>
          <w:rFonts w:ascii="Times New Roman" w:hAnsi="Times New Roman" w:cs="Times New Roman"/>
          <w:sz w:val="28"/>
          <w:szCs w:val="28"/>
        </w:rPr>
        <w:t xml:space="preserve">Федеральным законом от 25.12.2023 №669-ФЗ ужесточается административная ответственность за незаконные перевозки пассажиров и багажа автобусами и городским наземным электрическим транспортом. Так, в частности, согласно изменениям, внесенным в статью 11.14.2 Кодекса Российской Федерации об административных правонарушениях, осуществление перевозки пассажиров и багажа по заказу на условиях, предусматривающих предоставление права проезда в транспортном средстве за плату неопределенному кругу лиц, повлечет наложение административного штрафа на водителя в размере пяти тысяч рублей; на должностных лиц - тридцати тысяч рублей; на юридических лиц - трехсот тысяч рублей. Кроме этого, статья 14.1.2 Кодекса Российской Федерации об административных правонарушениях дополняется частью пятой, предусматривающей, что за осуществление незаконной предпринимательской деятельности по перевозке пассажиров и багажа автомобильным транспортом или городским наземным электрическим транспортом последует административное наказание в виде штрафа, размер которого для граждан и должностных лиц составит пятьдесят тысяч рублей, для юридических лиц - четыреста тысяч рублей. </w:t>
      </w:r>
    </w:p>
    <w:p w14:paraId="2E63F579" w14:textId="0A40885E" w:rsidR="008B63B6" w:rsidRDefault="001B253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2532">
        <w:rPr>
          <w:rFonts w:ascii="Times New Roman" w:hAnsi="Times New Roman" w:cs="Times New Roman"/>
          <w:sz w:val="28"/>
          <w:szCs w:val="28"/>
        </w:rPr>
        <w:t>Также уточнены нормы об ответственности за иные правонарушения в указанной сфере.</w:t>
      </w:r>
    </w:p>
    <w:p w14:paraId="68BC396A" w14:textId="77777777" w:rsidR="001B2532" w:rsidRPr="001B2532" w:rsidRDefault="001B253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634B994F" w14:textId="77777777" w:rsidR="008B63B6" w:rsidRPr="008B63B6" w:rsidRDefault="008B63B6" w:rsidP="008B6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3B6">
        <w:rPr>
          <w:rFonts w:ascii="Times New Roman" w:hAnsi="Times New Roman" w:cs="Times New Roman"/>
          <w:b/>
          <w:sz w:val="28"/>
          <w:szCs w:val="28"/>
        </w:rPr>
        <w:t xml:space="preserve">Гатчинская городская прокуратура разъясняет: </w:t>
      </w:r>
    </w:p>
    <w:p w14:paraId="2428E531" w14:textId="730EDF88" w:rsidR="008B63B6" w:rsidRPr="008B63B6" w:rsidRDefault="001B2532" w:rsidP="001B253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253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23.12.2023        № 2267 утверждено новое положение о паспорте гражданина Российской Федерации, устанавливающее, в частности, порядок оформления и выдачи паспорта, порядок его замены, </w:t>
      </w:r>
      <w:r w:rsidRPr="001B2532">
        <w:rPr>
          <w:rFonts w:ascii="Times New Roman" w:hAnsi="Times New Roman" w:cs="Times New Roman"/>
          <w:sz w:val="28"/>
          <w:szCs w:val="28"/>
        </w:rPr>
        <w:lastRenderedPageBreak/>
        <w:t xml:space="preserve">уничтожения, срок действия, а также содержащее образец бланка паспорта и его описание. Согласно документу в паспорте, оформленном в виде документа, содержащего электронный носитель информации, будут указываться биометрические персональные данные, содержащиеся на электронном носителе информации (цифровое фотографическое изображение лица владельца паспорта). Для учета паспортов и их бланков предусматривается ведение электронных записей с использованием системы «Мир». </w:t>
      </w:r>
    </w:p>
    <w:sectPr w:rsidR="008B63B6" w:rsidRPr="008B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B"/>
    <w:rsid w:val="001B2532"/>
    <w:rsid w:val="00587E9B"/>
    <w:rsid w:val="008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2C77"/>
  <w15:chartTrackingRefBased/>
  <w15:docId w15:val="{9F9EC3F2-6A39-44A4-A3F4-242E30C9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4329</Characters>
  <Application>Microsoft Office Word</Application>
  <DocSecurity>0</DocSecurity>
  <Lines>36</Lines>
  <Paragraphs>10</Paragraphs>
  <ScaleCrop>false</ScaleCrop>
  <Company>Прокуратура РФ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Виктория Сергеевна</dc:creator>
  <cp:keywords/>
  <dc:description/>
  <cp:lastModifiedBy>Калинина Виктория Сергеевна</cp:lastModifiedBy>
  <cp:revision>5</cp:revision>
  <dcterms:created xsi:type="dcterms:W3CDTF">2024-02-13T12:42:00Z</dcterms:created>
  <dcterms:modified xsi:type="dcterms:W3CDTF">2024-02-13T12:47:00Z</dcterms:modified>
</cp:coreProperties>
</file>