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23"/>
        <w:spacing w:lineRule="auto" w:line="240" w:before="0" w:after="0"/>
        <w:ind w:left="5103" w:hanging="3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Приложение № 1</w:t>
      </w:r>
    </w:p>
    <w:p>
      <w:pPr>
        <w:pStyle w:val="11"/>
        <w:tabs>
          <w:tab w:val="clear" w:pos="708"/>
          <w:tab w:val="left" w:pos="6495" w:leader="none"/>
        </w:tabs>
        <w:ind w:right="-21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>
      <w:pPr>
        <w:pStyle w:val="11"/>
        <w:ind w:right="-21" w:hang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КРИТЕРИИ ОЦЕНКИ</w:t>
        <w:br/>
        <w:t>деятельности единой дежурно-диспетчерской</w:t>
        <w:br/>
        <w:t>службы муниципального образования</w:t>
      </w:r>
    </w:p>
    <w:p>
      <w:pPr>
        <w:pStyle w:val="11"/>
        <w:ind w:right="-21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Итоговая оценка по результатам проведения смотра-конкурса на звание «Лучшая единая дежурно-диспетчерская служба муниципального образования» определяется суммой набранных баллов, полученных при оценке соответствия единых дежурно-диспетчерских служб муниципальных образований           (далее – ЕДДС) установленным критериям с учетом полноты и качества представленных сведений о ЕДДС и результатах их деятельности в течение отчетного периода.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Оценки, выставляемые при принятии решений о соответствии ЕДДС установленным критериям, соответствуют следующим баллам: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 – 3 балла;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 – 0 баллов.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Оценка деятельности ЕДДС проводится по следующим критериям: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967" w:leader="none"/>
        </w:tabs>
        <w:ind w:right="-57" w:firstLine="709"/>
        <w:jc w:val="both"/>
        <w:rPr/>
      </w:pPr>
      <w:bookmarkStart w:id="0" w:name="bookmark34"/>
      <w:bookmarkStart w:id="1" w:name="bookmark35"/>
      <w:bookmarkStart w:id="2" w:name="bookmark37"/>
      <w:bookmarkStart w:id="3" w:name="bookmark36"/>
      <w:bookmarkEnd w:id="3"/>
      <w:r>
        <w:rPr>
          <w:sz w:val="28"/>
          <w:szCs w:val="28"/>
        </w:rPr>
        <w:t>Порядок создания и функционирования ЕДДС.</w:t>
      </w:r>
      <w:bookmarkEnd w:id="0"/>
      <w:bookmarkEnd w:id="1"/>
      <w:bookmarkEnd w:id="2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 нормативные правовые акты, определяющие порядок создания и функционирования ЕДДС</w:t>
      </w:r>
      <w:r>
        <w:rPr>
          <w:color w:val="auto"/>
          <w:sz w:val="28"/>
          <w:szCs w:val="28"/>
        </w:rPr>
        <w:t>, приняты после 01.11.2011 и соответствуют требованиям ГОСТ 22.7.01-2021.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выполнено требование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991" w:leader="none"/>
        </w:tabs>
        <w:ind w:right="-57" w:firstLine="709"/>
        <w:jc w:val="both"/>
        <w:rPr/>
      </w:pPr>
      <w:bookmarkStart w:id="4" w:name="bookmark38"/>
      <w:bookmarkStart w:id="5" w:name="bookmark39"/>
      <w:bookmarkStart w:id="6" w:name="bookmark41"/>
      <w:bookmarkStart w:id="7" w:name="bookmark40"/>
      <w:bookmarkEnd w:id="7"/>
      <w:r>
        <w:rPr>
          <w:sz w:val="28"/>
          <w:szCs w:val="28"/>
        </w:rPr>
        <w:t>Состав и структура ЕДДС.</w:t>
      </w:r>
      <w:bookmarkEnd w:id="4"/>
      <w:bookmarkEnd w:id="5"/>
      <w:bookmarkEnd w:id="6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ЕДДС включает в себя: руководство ЕДДС, дежурно-диспетчерский персонал, пункт управления, средства связи, оповещения и автоматизации управления;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в состав руководства ЕДДС входят начальник ЕДДС и не менее двух его заместителей: по управлению и средствам связи, по мониторингу и прогнозированию чрезвычайных ситуаций;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в составе дежурно-диспетчерского персонала ЕДДС предусмотрены оперативные дежурные смены из расчета несения круглосуточного дежурства;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в состав оперативной дежурной смены включены оперативный дежурный и диспетчер ЕДДС.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выполнены два и более требований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1024" w:leader="none"/>
        </w:tabs>
        <w:ind w:right="-57" w:firstLine="709"/>
        <w:jc w:val="both"/>
        <w:rPr/>
      </w:pPr>
      <w:bookmarkStart w:id="8" w:name="bookmark42"/>
      <w:bookmarkStart w:id="9" w:name="bookmark43"/>
      <w:bookmarkStart w:id="10" w:name="bookmark45"/>
      <w:bookmarkStart w:id="11" w:name="bookmark44"/>
      <w:bookmarkEnd w:id="11"/>
      <w:r>
        <w:rPr>
          <w:sz w:val="28"/>
          <w:szCs w:val="28"/>
        </w:rPr>
        <w:t>Пункт управления ЕДДС.</w:t>
      </w:r>
      <w:bookmarkEnd w:id="8"/>
      <w:bookmarkEnd w:id="9"/>
      <w:bookmarkEnd w:id="10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пункт управления ЕДДС включает в себя рабочие помещения для постоянного и дежурно-диспетчерского персонала, диспетчеров системы обеспечения вызова экстренных оперативных служб по единому номеру «112»;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оборудовано автоматизированное рабочее место диспетчера системы обеспечения вызова экстренных оперативных служб по единому номеру «112»;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пункт управления ЕДДС размещается в помещениях, предоставляемых органом местного самоуправления.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выполнено хотя бы одно требование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1024" w:leader="none"/>
        </w:tabs>
        <w:ind w:right="-57" w:firstLine="709"/>
        <w:jc w:val="both"/>
        <w:rPr/>
      </w:pPr>
      <w:bookmarkStart w:id="12" w:name="bookmark46"/>
      <w:bookmarkStart w:id="13" w:name="bookmark47"/>
      <w:bookmarkStart w:id="14" w:name="bookmark49"/>
      <w:bookmarkStart w:id="15" w:name="bookmark48"/>
      <w:bookmarkEnd w:id="15"/>
      <w:r>
        <w:rPr>
          <w:sz w:val="28"/>
          <w:szCs w:val="28"/>
        </w:rPr>
        <w:t>Организация оперативного дежурства.</w:t>
      </w:r>
      <w:bookmarkEnd w:id="12"/>
      <w:bookmarkEnd w:id="13"/>
      <w:bookmarkEnd w:id="14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нормативные правовые акты по вопросам гражданской обороны (далее – ГО), защиты населения и территорий от чрезвычайных ситуаций (далее – ЧС) природного и техногенного характера, пожарной безопасности, а также по вопросам сбора и обмена информацией о ЧС (происшествиях);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соглашения об информационном взаимодействии ЕДДС с дежурно-диспетчерскими службами (далее – ДДС) экстренных оперативных служб и организаций (объектов) и службами жизнеобеспечения муниципального образования;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журнал учета полученной и переданной информации, полученных и переданных распоряжений и сигналов;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журнал оперативного дежурства;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инструкции по действиям дежурно-диспетчерского персонала при получении информации об угрозе возникновения или возникновении ЧС (происшествия);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инструкции о несении дежурства в повседневной деятельности, в режимах повышенной готовности и чрезвычайной ситуации;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план взаимодействия ЕДДС муниципального образования с ДДС экстренных оперативных служб и организаций (объектов) при ликвидации пожаров, ЧС (происшествий) различного характера на территории муниципального образования;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инструкции по действиям дежурно-диспетчерского персонала при получении информации по линии взаимодействующих ДДС экстренных оперативных служб и организаций (объектов);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аварийные и аварийные медицинские карточки на все химически опасные вещества и радиационные грузы, перечни радиационно, химически и биологически опасных объектов с прогнозируемыми последствиями ЧС (происшествия);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схемы и списки оповещения руководства ГО, муниципального звена территориальной подсистемы единой государственной системы предупреждения и ликвидации ЧС (далее – РСЧС), органов управления, сил и средств на территории муниципального образования, предназначенных и выделяемых (привлекаемых) для предупреждения и ликвидации ЧС (происшествий), сил и средств ГО на территории муниципального образования;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рабочие карты территории муниципального образования с указанием собственников крупных предприятий и территорий для организации оповещения о ЧС и субъекта Российской Федерации;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схема местной системы оповещения;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телефонные справочники;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документация по организации профессиональной подготовки дежурно-диспетчерского персонала;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формализованные бланки отрабатываемых документов с заранее заготовленной постоянной частью текста;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суточный расчет сил и средств муниципального звена территориальной подсистемы РСЧС;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расчет сил и средств муниципального образования, привлекаемых к ликвидации ЧС (происшествий);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ежедневный план работы оперативного дежурного ЕДДС.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выполнены три и более требований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1053" w:leader="none"/>
        </w:tabs>
        <w:ind w:right="-57" w:firstLine="709"/>
        <w:jc w:val="both"/>
        <w:rPr/>
      </w:pPr>
      <w:bookmarkStart w:id="16" w:name="bookmark50"/>
      <w:bookmarkStart w:id="17" w:name="bookmark51"/>
      <w:bookmarkStart w:id="18" w:name="bookmark53"/>
      <w:bookmarkStart w:id="19" w:name="bookmark52"/>
      <w:bookmarkEnd w:id="19"/>
      <w:r>
        <w:rPr>
          <w:sz w:val="28"/>
          <w:szCs w:val="28"/>
        </w:rPr>
        <w:t>Технические средства управления ЕДДС.</w:t>
      </w:r>
      <w:bookmarkEnd w:id="16"/>
      <w:bookmarkEnd w:id="17"/>
      <w:bookmarkEnd w:id="18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средства связи и автоматизации управления, в том числе средства радиосвязи;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средства оповещения руководящего состава и населения;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средства регистрации (записи) входящих и исходящих переговоров, а также определения номера звонящего абонента;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оргтехника (компьютеры, принтеры, сканеры);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система видеоконференцсвязи;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имеются прямые каналы связи с центром управления в кризисных ситуациях главного управления МЧС России по субъекту Российской Федерации, ЕДДС соседних муниципальных образований, ДДС потенциально опасных объектов, объектами с массовым пребыванием людей;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метеостанция;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имеется приемник глобальной навигационной спутниковой системы ГЛОНАСС или ГЛОНАСС/GPS.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выполнены три и более требований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1058" w:leader="none"/>
        </w:tabs>
        <w:ind w:right="-57" w:firstLine="709"/>
        <w:jc w:val="both"/>
        <w:rPr/>
      </w:pPr>
      <w:bookmarkStart w:id="20" w:name="bookmark54"/>
      <w:bookmarkStart w:id="21" w:name="bookmark55"/>
      <w:bookmarkStart w:id="22" w:name="bookmark57"/>
      <w:bookmarkStart w:id="23" w:name="bookmark56"/>
      <w:bookmarkEnd w:id="23"/>
      <w:r>
        <w:rPr>
          <w:sz w:val="28"/>
          <w:szCs w:val="28"/>
        </w:rPr>
        <w:t>Средства связи и автоматизированной системы управления ЕДДС.</w:t>
      </w:r>
      <w:bookmarkEnd w:id="20"/>
      <w:bookmarkEnd w:id="21"/>
      <w:bookmarkEnd w:id="22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средства связи обеспечивают телефонную связь;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средства связи обеспечивают передачу данных;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средства связи обеспечивают прием и передачу команд, сигналов оповещения и данных;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средства связи обеспечивают прием вызовов (сообщений) через систему обеспечения вызова экстренных оперативных служб по единому номеру «112»;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средства связи обеспечивают коммутацию передаваемого сообщения до соответствующих ДДС экстренных оперативных служб и организаций (объектов);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средства связи обеспечивают обмен речевыми сообщениями, документальной и видеоинформацией, а также данными с вышестоящими и взаимодействующими службами;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ЕДДС имеет резервные каналы связи;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автоматизированная информационная система ЕДДС (далее – АИС ЕДДС) обеспечивает автоматизацию выполнения задач и функций ЕДДС;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АИС ЕДДС сопрягается с региональной автоматизированной информационно-управляющей системой РСЧС и с имеющимися автоматизированными системами взаимодействующих ДДС экстренных оперативных служб и организаций (объектов), а также с телекоммуникационной подсистемой системы обеспечения вызова экстренных оперативных служб по единому номеру «112».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выполнены три и более требований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1062" w:leader="none"/>
        </w:tabs>
        <w:ind w:right="-57" w:firstLine="709"/>
        <w:jc w:val="both"/>
        <w:rPr/>
      </w:pPr>
      <w:bookmarkStart w:id="24" w:name="bookmark58"/>
      <w:bookmarkStart w:id="25" w:name="bookmark59"/>
      <w:bookmarkStart w:id="26" w:name="bookmark61"/>
      <w:bookmarkStart w:id="27" w:name="bookmark60"/>
      <w:bookmarkEnd w:id="27"/>
      <w:r>
        <w:rPr>
          <w:sz w:val="28"/>
          <w:szCs w:val="28"/>
        </w:rPr>
        <w:t>Средства оповещения ЕДДС.</w:t>
      </w:r>
      <w:bookmarkEnd w:id="24"/>
      <w:bookmarkEnd w:id="25"/>
      <w:bookmarkEnd w:id="26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система оповещения обеспечивает передачу сигналов оповещения;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система оповещения обеспечивает передачу речевых (текстовых) сообщений;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система оповещения обеспечивает передачу условных сигналов;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задействование местной системы оповещения осуществляется       дежурно-диспетчерским персоналом с автоматизированных рабочих мест ЕДДС.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выполнены два и более требований на оценку «удовлетворительно».</w:t>
      </w:r>
    </w:p>
    <w:p>
      <w:pPr>
        <w:pStyle w:val="25"/>
        <w:keepNext w:val="true"/>
        <w:keepLines/>
        <w:numPr>
          <w:ilvl w:val="0"/>
          <w:numId w:val="1"/>
        </w:numPr>
        <w:tabs>
          <w:tab w:val="clear" w:pos="708"/>
          <w:tab w:val="left" w:pos="1042" w:leader="none"/>
        </w:tabs>
        <w:ind w:right="-57" w:firstLine="709"/>
        <w:jc w:val="both"/>
        <w:rPr/>
      </w:pPr>
      <w:bookmarkStart w:id="28" w:name="bookmark62"/>
      <w:bookmarkStart w:id="29" w:name="bookmark63"/>
      <w:bookmarkStart w:id="30" w:name="bookmark65"/>
      <w:bookmarkStart w:id="31" w:name="bookmark64"/>
      <w:bookmarkEnd w:id="31"/>
      <w:r>
        <w:rPr>
          <w:sz w:val="28"/>
          <w:szCs w:val="28"/>
        </w:rPr>
        <w:t>Оценка работы с электронными паспортами территорий (объектов).</w:t>
      </w:r>
      <w:bookmarkEnd w:id="28"/>
      <w:bookmarkEnd w:id="29"/>
      <w:bookmarkEnd w:id="30"/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«Удовлетворительно», если: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разработано и имеется в наличии 100% паспортов территорий (объектов) (далее – Паспорта) в соответствии с методическими рекомендациями по порядку разработки, проверки, оценки и корректировки электронных Паспортов;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организовано своевременное внесение изменений в Паспорта, а также проводится их периодическая корректировка;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практическое применение Паспортов позволяет оценить складывающуюся обстановку и спланировать проведение предупредительных мероприятий;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в Паспортах уточнен состав сил и средств РСЧС, привлекаемых для ликвидации последствий ЧС;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в Паспортах имеется вся справочная информация, касающаяся средств массовой информации (перечень всех средств массовой информации, фамилии, имена, отчества должностных лиц руководителей организаций, контактные телефоны), ведется мониторинг информации и имеется база данных по всем ЧС;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определены ответственные должностные лица за соответствующие разделы Паспортов;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личный состав ЕДДС знает порядок использования и корректировки Паспортов;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Паспорта применяются в практической деятельности ЕДДС.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«Неудовлетворительно», если не выполнены два и более требований на оценку «удовлетворительно».</w:t>
      </w:r>
    </w:p>
    <w:p>
      <w:pPr>
        <w:pStyle w:val="11"/>
        <w:numPr>
          <w:ilvl w:val="0"/>
          <w:numId w:val="1"/>
        </w:numPr>
        <w:tabs>
          <w:tab w:val="clear" w:pos="708"/>
          <w:tab w:val="left" w:pos="1030" w:leader="none"/>
        </w:tabs>
        <w:ind w:right="-57" w:firstLine="709"/>
        <w:jc w:val="both"/>
        <w:rPr/>
      </w:pPr>
      <w:bookmarkStart w:id="32" w:name="bookmark66"/>
      <w:bookmarkEnd w:id="32"/>
      <w:r>
        <w:rPr>
          <w:b/>
          <w:bCs/>
          <w:sz w:val="28"/>
          <w:szCs w:val="28"/>
        </w:rPr>
        <w:t>Среднемесячный оценочный показатель по тренировкам, проведенным под руководством оперативной дежурной смены центра управления в кризисных ситуациях главного управления МЧС России по субъекту Российской Федерации на момент проверки.</w:t>
      </w:r>
    </w:p>
    <w:p>
      <w:pPr>
        <w:pStyle w:val="11"/>
        <w:ind w:right="-57" w:firstLine="709"/>
        <w:jc w:val="both"/>
        <w:rPr/>
      </w:pPr>
      <w:r>
        <w:rPr>
          <w:sz w:val="28"/>
          <w:szCs w:val="28"/>
        </w:rPr>
        <w:t>Оценивается по оценочному показателю:</w:t>
      </w:r>
    </w:p>
    <w:p>
      <w:pPr>
        <w:pStyle w:val="11"/>
        <w:tabs>
          <w:tab w:val="clear" w:pos="708"/>
          <w:tab w:val="left" w:pos="1258" w:leader="none"/>
        </w:tabs>
        <w:ind w:left="709" w:right="-57" w:hanging="0"/>
        <w:jc w:val="both"/>
        <w:rPr/>
      </w:pPr>
      <w:bookmarkStart w:id="33" w:name="bookmark67"/>
      <w:bookmarkEnd w:id="33"/>
      <w:r>
        <w:rPr>
          <w:sz w:val="28"/>
          <w:szCs w:val="28"/>
        </w:rPr>
        <w:t>4,5-5,0 – 3 балла;</w:t>
      </w:r>
    </w:p>
    <w:p>
      <w:pPr>
        <w:pStyle w:val="11"/>
        <w:ind w:left="709" w:right="-57" w:hanging="0"/>
        <w:jc w:val="both"/>
        <w:rPr/>
      </w:pPr>
      <w:r>
        <w:rPr>
          <w:sz w:val="28"/>
          <w:szCs w:val="28"/>
        </w:rPr>
        <w:t>4,0-4,5 – 2 балла;</w:t>
      </w:r>
    </w:p>
    <w:p>
      <w:pPr>
        <w:pStyle w:val="11"/>
        <w:tabs>
          <w:tab w:val="clear" w:pos="708"/>
          <w:tab w:val="left" w:pos="1258" w:leader="none"/>
        </w:tabs>
        <w:ind w:left="709" w:right="-57" w:hanging="0"/>
        <w:jc w:val="both"/>
        <w:rPr/>
      </w:pPr>
      <w:bookmarkStart w:id="34" w:name="bookmark68"/>
      <w:bookmarkEnd w:id="34"/>
      <w:r>
        <w:rPr>
          <w:sz w:val="28"/>
          <w:szCs w:val="28"/>
        </w:rPr>
        <w:t>3,5-4,0 – 1 балл;</w:t>
      </w:r>
    </w:p>
    <w:p>
      <w:pPr>
        <w:pStyle w:val="11"/>
        <w:ind w:left="709" w:right="-57" w:hanging="0"/>
        <w:jc w:val="both"/>
        <w:rPr/>
      </w:pPr>
      <w:r>
        <w:rPr>
          <w:sz w:val="28"/>
          <w:szCs w:val="28"/>
        </w:rPr>
        <w:t>менее 3,5 – 0 баллов.</w:t>
      </w:r>
    </w:p>
    <w:p>
      <w:pPr>
        <w:pStyle w:val="11"/>
        <w:ind w:right="-57" w:firstLine="709"/>
        <w:jc w:val="both"/>
        <w:rPr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567" w:header="567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881075446"/>
    </w:sdtPr>
    <w:sdtContent>
      <w:p>
        <w:pPr>
          <w:pStyle w:val="Style29"/>
          <w:jc w:val="center"/>
          <w:rPr/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5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Normal"/>
      <w:spacing w:lineRule="exact" w:line="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/>
        <w:shd w:fill="FFFFFF" w:val="clear"/>
        <w:szCs w:val="26"/>
        <w:iCs w:val="false"/>
        <w:bCs/>
        <w:w w:val="100"/>
        <w:rFonts w:ascii="Times New Roman" w:hAnsi="Times New Roman" w:eastAsia="Times New Roman" w:cs="Times New Roman"/>
        <w:color w:val="000000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b0b4c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_"/>
    <w:basedOn w:val="DefaultParagraphFont"/>
    <w:link w:val="1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2" w:customStyle="1">
    <w:name w:val="Основной текст (2)_"/>
    <w:basedOn w:val="DefaultParagraphFont"/>
    <w:link w:val="20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  <w:shd w:fill="auto" w:val="clear"/>
    </w:rPr>
  </w:style>
  <w:style w:type="character" w:styleId="1" w:customStyle="1">
    <w:name w:val="Заголовок №1_"/>
    <w:basedOn w:val="DefaultParagraphFont"/>
    <w:link w:val="11"/>
    <w:qFormat/>
    <w:rsid w:val="000b0b4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4"/>
      <w:szCs w:val="34"/>
      <w:u w:val="none"/>
      <w:shd w:fill="auto" w:val="clear"/>
    </w:rPr>
  </w:style>
  <w:style w:type="character" w:styleId="3" w:customStyle="1">
    <w:name w:val="Основной текст (3)_"/>
    <w:basedOn w:val="DefaultParagraphFont"/>
    <w:link w:val="30"/>
    <w:qFormat/>
    <w:rsid w:val="000b0b4c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34"/>
      <w:szCs w:val="34"/>
      <w:u w:val="single"/>
      <w:shd w:fill="auto" w:val="clear"/>
    </w:rPr>
  </w:style>
  <w:style w:type="character" w:styleId="21" w:customStyle="1">
    <w:name w:val="Колонтитул (2)_"/>
    <w:basedOn w:val="DefaultParagraphFont"/>
    <w:link w:val="22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22" w:customStyle="1">
    <w:name w:val="Заголовок №2_"/>
    <w:basedOn w:val="DefaultParagraphFont"/>
    <w:link w:val="24"/>
    <w:qFormat/>
    <w:rsid w:val="000b0b4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Style15" w:customStyle="1">
    <w:name w:val="Подпись к таблице_"/>
    <w:basedOn w:val="DefaultParagraphFont"/>
    <w:link w:val="a5"/>
    <w:qFormat/>
    <w:rsid w:val="000b0b4c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single"/>
      <w:shd w:fill="auto" w:val="clear"/>
    </w:rPr>
  </w:style>
  <w:style w:type="character" w:styleId="Style16" w:customStyle="1">
    <w:name w:val="Другое_"/>
    <w:basedOn w:val="DefaultParagraphFont"/>
    <w:link w:val="a7"/>
    <w:qFormat/>
    <w:rsid w:val="000b0b4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Style17" w:customStyle="1">
    <w:name w:val="Нижний колонтитул Знак"/>
    <w:basedOn w:val="DefaultParagraphFont"/>
    <w:link w:val="a8"/>
    <w:uiPriority w:val="99"/>
    <w:qFormat/>
    <w:rsid w:val="00f60a3c"/>
    <w:rPr>
      <w:color w:val="000000"/>
    </w:rPr>
  </w:style>
  <w:style w:type="character" w:styleId="Style18" w:customStyle="1">
    <w:name w:val="Верхний колонтитул Знак"/>
    <w:basedOn w:val="DefaultParagraphFont"/>
    <w:link w:val="aa"/>
    <w:uiPriority w:val="99"/>
    <w:qFormat/>
    <w:rsid w:val="00f60a3c"/>
    <w:rPr>
      <w:color w:val="000000"/>
    </w:rPr>
  </w:style>
  <w:style w:type="character" w:styleId="Style19" w:customStyle="1">
    <w:name w:val="Текст выноски Знак"/>
    <w:basedOn w:val="DefaultParagraphFont"/>
    <w:link w:val="ad"/>
    <w:uiPriority w:val="99"/>
    <w:semiHidden/>
    <w:qFormat/>
    <w:rsid w:val="001006bd"/>
    <w:rPr>
      <w:rFonts w:ascii="Tahoma" w:hAnsi="Tahoma" w:cs="Tahoma"/>
      <w:color w:val="000000"/>
      <w:sz w:val="16"/>
      <w:szCs w:val="16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ascii="PT Astra Serif" w:hAnsi="PT Astra Serif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Основной текст1"/>
    <w:basedOn w:val="Normal"/>
    <w:link w:val="a3"/>
    <w:qFormat/>
    <w:rsid w:val="000b0b4c"/>
    <w:pPr>
      <w:ind w:firstLine="400"/>
    </w:pPr>
    <w:rPr>
      <w:rFonts w:ascii="Times New Roman" w:hAnsi="Times New Roman" w:eastAsia="Times New Roman" w:cs="Times New Roman"/>
      <w:sz w:val="26"/>
      <w:szCs w:val="26"/>
    </w:rPr>
  </w:style>
  <w:style w:type="paragraph" w:styleId="23" w:customStyle="1">
    <w:name w:val="Основной текст (2)"/>
    <w:basedOn w:val="Normal"/>
    <w:link w:val="2"/>
    <w:qFormat/>
    <w:rsid w:val="000b0b4c"/>
    <w:pPr>
      <w:spacing w:lineRule="auto" w:line="259" w:before="0" w:after="540"/>
      <w:jc w:val="center"/>
    </w:pPr>
    <w:rPr>
      <w:rFonts w:ascii="Times New Roman" w:hAnsi="Times New Roman" w:eastAsia="Times New Roman" w:cs="Times New Roman"/>
      <w:sz w:val="22"/>
      <w:szCs w:val="22"/>
    </w:rPr>
  </w:style>
  <w:style w:type="paragraph" w:styleId="12" w:customStyle="1">
    <w:name w:val="Заголовок №1"/>
    <w:basedOn w:val="Normal"/>
    <w:link w:val="10"/>
    <w:qFormat/>
    <w:rsid w:val="000b0b4c"/>
    <w:pPr>
      <w:spacing w:before="0" w:after="120"/>
      <w:jc w:val="center"/>
      <w:outlineLvl w:val="0"/>
    </w:pPr>
    <w:rPr>
      <w:rFonts w:ascii="Times New Roman" w:hAnsi="Times New Roman" w:eastAsia="Times New Roman" w:cs="Times New Roman"/>
      <w:b/>
      <w:bCs/>
      <w:sz w:val="34"/>
      <w:szCs w:val="34"/>
    </w:rPr>
  </w:style>
  <w:style w:type="paragraph" w:styleId="31" w:customStyle="1">
    <w:name w:val="Основной текст (3)"/>
    <w:basedOn w:val="Normal"/>
    <w:link w:val="3"/>
    <w:qFormat/>
    <w:rsid w:val="000b0b4c"/>
    <w:pPr>
      <w:spacing w:lineRule="auto" w:line="204" w:before="0" w:after="500"/>
    </w:pPr>
    <w:rPr>
      <w:rFonts w:ascii="Times New Roman" w:hAnsi="Times New Roman" w:eastAsia="Times New Roman" w:cs="Times New Roman"/>
      <w:i/>
      <w:iCs/>
      <w:sz w:val="34"/>
      <w:szCs w:val="34"/>
      <w:u w:val="single"/>
    </w:rPr>
  </w:style>
  <w:style w:type="paragraph" w:styleId="24" w:customStyle="1">
    <w:name w:val="Колонтитул (2)"/>
    <w:basedOn w:val="Normal"/>
    <w:link w:val="21"/>
    <w:qFormat/>
    <w:rsid w:val="000b0b4c"/>
    <w:pPr/>
    <w:rPr>
      <w:rFonts w:ascii="Times New Roman" w:hAnsi="Times New Roman" w:eastAsia="Times New Roman" w:cs="Times New Roman"/>
      <w:sz w:val="20"/>
      <w:szCs w:val="20"/>
    </w:rPr>
  </w:style>
  <w:style w:type="paragraph" w:styleId="25" w:customStyle="1">
    <w:name w:val="Заголовок №2"/>
    <w:basedOn w:val="Normal"/>
    <w:link w:val="23"/>
    <w:qFormat/>
    <w:rsid w:val="000b0b4c"/>
    <w:pPr>
      <w:ind w:firstLine="660"/>
      <w:outlineLvl w:val="1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Style25" w:customStyle="1">
    <w:name w:val="Подпись к таблице"/>
    <w:basedOn w:val="Normal"/>
    <w:link w:val="a4"/>
    <w:qFormat/>
    <w:rsid w:val="000b0b4c"/>
    <w:pPr>
      <w:jc w:val="center"/>
    </w:pPr>
    <w:rPr>
      <w:rFonts w:ascii="Times New Roman" w:hAnsi="Times New Roman" w:eastAsia="Times New Roman" w:cs="Times New Roman"/>
      <w:b/>
      <w:bCs/>
      <w:sz w:val="26"/>
      <w:szCs w:val="26"/>
      <w:u w:val="single"/>
    </w:rPr>
  </w:style>
  <w:style w:type="paragraph" w:styleId="Style26" w:customStyle="1">
    <w:name w:val="Другое"/>
    <w:basedOn w:val="Normal"/>
    <w:link w:val="a6"/>
    <w:qFormat/>
    <w:rsid w:val="000b0b4c"/>
    <w:pPr>
      <w:ind w:firstLine="400"/>
    </w:pPr>
    <w:rPr>
      <w:rFonts w:ascii="Times New Roman" w:hAnsi="Times New Roman" w:eastAsia="Times New Roman" w:cs="Times New Roman"/>
      <w:sz w:val="26"/>
      <w:szCs w:val="26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Footer"/>
    <w:basedOn w:val="Normal"/>
    <w:link w:val="a9"/>
    <w:uiPriority w:val="99"/>
    <w:unhideWhenUsed/>
    <w:rsid w:val="00f60a3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Header"/>
    <w:basedOn w:val="Normal"/>
    <w:link w:val="ab"/>
    <w:uiPriority w:val="99"/>
    <w:unhideWhenUsed/>
    <w:rsid w:val="00f60a3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fe2127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e"/>
    <w:uiPriority w:val="99"/>
    <w:semiHidden/>
    <w:unhideWhenUsed/>
    <w:qFormat/>
    <w:rsid w:val="001006bd"/>
    <w:pPr/>
    <w:rPr>
      <w:rFonts w:ascii="Tahoma" w:hAnsi="Tahoma" w:cs="Tahoma"/>
      <w:sz w:val="16"/>
      <w:szCs w:val="16"/>
    </w:rPr>
  </w:style>
  <w:style w:type="paragraph" w:styleId="Style3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Application>LibreOffice/7.0.6.2$Linux_X86_64 LibreOffice_project/00$Build-2</Application>
  <AppVersion>15.0000</AppVersion>
  <Pages>5</Pages>
  <Words>1075</Words>
  <Characters>8427</Characters>
  <CharactersWithSpaces>9458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2020-10-21T12:19:00Z</dcterms:created>
  <dc:creator/>
  <dc:description/>
  <dc:language>ru-RU</dc:language>
  <cp:lastModifiedBy/>
  <cp:lastPrinted>2020-10-23T06:38:00Z</cp:lastPrinted>
  <dcterms:modified xsi:type="dcterms:W3CDTF">2025-09-30T11:59:08Z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