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18" w:rsidRDefault="00544718" w:rsidP="00544718">
      <w:pPr>
        <w:pStyle w:val="a7"/>
        <w:tabs>
          <w:tab w:val="left" w:pos="-4680"/>
        </w:tabs>
        <w:ind w:right="141"/>
        <w:jc w:val="right"/>
        <w:rPr>
          <w:b/>
          <w:bCs/>
          <w:sz w:val="24"/>
          <w:szCs w:val="24"/>
        </w:rPr>
      </w:pPr>
    </w:p>
    <w:p w:rsidR="00544718" w:rsidRDefault="00544718" w:rsidP="00544718">
      <w:pPr>
        <w:pStyle w:val="a7"/>
        <w:tabs>
          <w:tab w:val="left" w:pos="-4680"/>
        </w:tabs>
        <w:ind w:right="141"/>
        <w:rPr>
          <w:b/>
          <w:bCs/>
          <w:szCs w:val="28"/>
        </w:rPr>
      </w:pPr>
    </w:p>
    <w:p w:rsidR="00544718" w:rsidRDefault="00544718" w:rsidP="00544718">
      <w:pPr>
        <w:pStyle w:val="a7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ОБЩЕСТВЕННАЯ  ПАЛАТА</w:t>
      </w:r>
    </w:p>
    <w:p w:rsidR="00544718" w:rsidRDefault="00544718" w:rsidP="00544718">
      <w:pPr>
        <w:pStyle w:val="a7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544718" w:rsidRDefault="00544718" w:rsidP="00544718">
      <w:pPr>
        <w:pStyle w:val="a7"/>
        <w:tabs>
          <w:tab w:val="left" w:pos="-4680"/>
        </w:tabs>
        <w:ind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544718" w:rsidRDefault="00544718" w:rsidP="00544718">
      <w:pPr>
        <w:pStyle w:val="a8"/>
        <w:ind w:left="0" w:right="141"/>
        <w:jc w:val="center"/>
        <w:rPr>
          <w:sz w:val="20"/>
          <w:szCs w:val="20"/>
        </w:rPr>
      </w:pPr>
      <w:r>
        <w:rPr>
          <w:sz w:val="20"/>
          <w:szCs w:val="20"/>
        </w:rPr>
        <w:t>ПЕРВЫЙ СОЗЫВ</w:t>
      </w:r>
    </w:p>
    <w:p w:rsidR="00544718" w:rsidRDefault="00544718" w:rsidP="00544718">
      <w:pPr>
        <w:pStyle w:val="a8"/>
        <w:tabs>
          <w:tab w:val="left" w:pos="-4680"/>
        </w:tabs>
        <w:ind w:left="0" w:right="141"/>
        <w:jc w:val="center"/>
        <w:rPr>
          <w:sz w:val="28"/>
          <w:szCs w:val="20"/>
        </w:rPr>
      </w:pPr>
    </w:p>
    <w:p w:rsidR="00544718" w:rsidRDefault="00544718" w:rsidP="00544718">
      <w:pPr>
        <w:pStyle w:val="1"/>
        <w:tabs>
          <w:tab w:val="left" w:pos="-4680"/>
        </w:tabs>
        <w:ind w:right="141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</w:t>
      </w:r>
    </w:p>
    <w:p w:rsidR="00544718" w:rsidRDefault="00544718" w:rsidP="00544718">
      <w:pPr>
        <w:ind w:right="141"/>
        <w:jc w:val="center"/>
        <w:rPr>
          <w:szCs w:val="20"/>
        </w:rPr>
      </w:pPr>
    </w:p>
    <w:p w:rsidR="00544718" w:rsidRDefault="00544718" w:rsidP="00544718">
      <w:pPr>
        <w:pStyle w:val="a7"/>
        <w:tabs>
          <w:tab w:val="left" w:pos="-4680"/>
        </w:tabs>
        <w:ind w:right="141"/>
        <w:rPr>
          <w:szCs w:val="28"/>
        </w:rPr>
      </w:pPr>
    </w:p>
    <w:p w:rsidR="00544718" w:rsidRDefault="00544718" w:rsidP="00544718">
      <w:pPr>
        <w:pStyle w:val="a7"/>
        <w:ind w:right="141"/>
        <w:jc w:val="left"/>
        <w:rPr>
          <w:b/>
          <w:szCs w:val="28"/>
        </w:rPr>
      </w:pPr>
      <w:r>
        <w:rPr>
          <w:b/>
          <w:szCs w:val="28"/>
        </w:rPr>
        <w:t xml:space="preserve">   от </w:t>
      </w:r>
      <w:r w:rsidR="00894CB8">
        <w:rPr>
          <w:b/>
          <w:szCs w:val="28"/>
        </w:rPr>
        <w:t xml:space="preserve">1 марта </w:t>
      </w:r>
      <w:r>
        <w:rPr>
          <w:b/>
          <w:szCs w:val="28"/>
        </w:rPr>
        <w:t>201</w:t>
      </w:r>
      <w:r w:rsidR="00AF272C">
        <w:rPr>
          <w:b/>
          <w:szCs w:val="28"/>
        </w:rPr>
        <w:t>6</w:t>
      </w:r>
      <w:r>
        <w:rPr>
          <w:b/>
          <w:szCs w:val="28"/>
        </w:rPr>
        <w:t xml:space="preserve"> г.                                                                       №</w:t>
      </w:r>
      <w:r w:rsidR="00894CB8">
        <w:rPr>
          <w:b/>
          <w:szCs w:val="28"/>
        </w:rPr>
        <w:t xml:space="preserve"> 8</w:t>
      </w:r>
    </w:p>
    <w:p w:rsidR="00544718" w:rsidRDefault="00544718" w:rsidP="00544718">
      <w:pPr>
        <w:pStyle w:val="a8"/>
        <w:ind w:left="1134" w:right="-1"/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</w:tblGrid>
      <w:tr w:rsidR="00544718" w:rsidTr="0013181D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718" w:rsidRPr="00544718" w:rsidRDefault="00544718" w:rsidP="0013181D">
            <w:pPr>
              <w:pStyle w:val="a3"/>
              <w:tabs>
                <w:tab w:val="left" w:pos="-4786"/>
                <w:tab w:val="left" w:pos="7320"/>
              </w:tabs>
              <w:spacing w:line="276" w:lineRule="auto"/>
              <w:ind w:left="34" w:right="175"/>
              <w:jc w:val="both"/>
              <w:rPr>
                <w:rFonts w:ascii="Times New Roman" w:hAnsi="Times New Roman"/>
                <w:b/>
                <w:lang w:val="ru-RU"/>
              </w:rPr>
            </w:pPr>
            <w:r w:rsidRPr="00544718"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изменений в Регламент Общественной палаты Гатчинского муниципального района</w:t>
            </w:r>
          </w:p>
        </w:tc>
      </w:tr>
    </w:tbl>
    <w:p w:rsidR="00544718" w:rsidRDefault="00544718" w:rsidP="0054471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44718" w:rsidRDefault="00544718" w:rsidP="0054471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44718" w:rsidRDefault="00544718" w:rsidP="005447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4</w:t>
      </w:r>
      <w:r w:rsidRPr="00156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 об Общественной палате Гатчинского муниципального района, утверждённого решением совета депутатов Гатчинского муниципального района от 27 февраля 2015 года  № 42 «Об утверждении Положения об Общественной палате Гатчинского муниципального района</w:t>
      </w:r>
      <w:r w:rsidR="00AF272C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F27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Регламентом Общественной палаты Гатчинского муниципального района</w:t>
      </w:r>
      <w:r w:rsidR="00C21121">
        <w:rPr>
          <w:rFonts w:ascii="Times New Roman" w:hAnsi="Times New Roman" w:cs="Times New Roman"/>
          <w:sz w:val="28"/>
          <w:szCs w:val="28"/>
        </w:rPr>
        <w:t>,</w:t>
      </w:r>
    </w:p>
    <w:p w:rsidR="00544718" w:rsidRDefault="00544718" w:rsidP="00544718">
      <w:pPr>
        <w:pStyle w:val="ConsPlusNormal"/>
        <w:jc w:val="both"/>
      </w:pPr>
    </w:p>
    <w:p w:rsidR="00544718" w:rsidRDefault="00544718" w:rsidP="0054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544718" w:rsidRDefault="00544718" w:rsidP="0054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544718" w:rsidRDefault="00544718" w:rsidP="005447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18" w:rsidRPr="00544718" w:rsidRDefault="00544718" w:rsidP="00544718">
      <w:pPr>
        <w:pStyle w:val="a3"/>
        <w:tabs>
          <w:tab w:val="left" w:pos="851"/>
          <w:tab w:val="left" w:pos="732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44718">
        <w:rPr>
          <w:rFonts w:ascii="Times New Roman" w:hAnsi="Times New Roman"/>
          <w:sz w:val="28"/>
          <w:szCs w:val="28"/>
          <w:lang w:val="ru-RU"/>
        </w:rPr>
        <w:t>1. Внести изменения в Регламент Общественной палаты Гатчинского  муниципального района согласно приложению</w:t>
      </w:r>
      <w:r w:rsidR="00AF272C">
        <w:rPr>
          <w:rFonts w:ascii="Times New Roman" w:hAnsi="Times New Roman"/>
          <w:sz w:val="28"/>
          <w:szCs w:val="28"/>
          <w:lang w:val="ru-RU"/>
        </w:rPr>
        <w:t>.</w:t>
      </w:r>
    </w:p>
    <w:p w:rsidR="00544718" w:rsidRDefault="00544718" w:rsidP="0054471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753CE1">
        <w:rPr>
          <w:b w:val="0"/>
          <w:sz w:val="28"/>
          <w:szCs w:val="28"/>
        </w:rPr>
        <w:t xml:space="preserve"> 2. Решение вступает в силу со дня со дня его принятия.</w:t>
      </w:r>
    </w:p>
    <w:p w:rsidR="00544718" w:rsidRDefault="00544718" w:rsidP="0054471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44718" w:rsidRDefault="00544718" w:rsidP="0054471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44718" w:rsidRDefault="00544718" w:rsidP="00544718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44718" w:rsidRDefault="00544718" w:rsidP="0054471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544718" w:rsidRDefault="00544718" w:rsidP="0054471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   М.В. Кравчук</w:t>
      </w:r>
    </w:p>
    <w:p w:rsidR="004238FA" w:rsidRDefault="004238FA"/>
    <w:p w:rsidR="004238FA" w:rsidRDefault="004238FA"/>
    <w:p w:rsidR="00AF272C" w:rsidRDefault="00AF272C"/>
    <w:p w:rsidR="00AF272C" w:rsidRDefault="00AF272C"/>
    <w:p w:rsidR="00B86C1A" w:rsidRDefault="00B86C1A" w:rsidP="00AF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B86C1A" w:rsidRDefault="00B86C1A" w:rsidP="00AF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B86C1A" w:rsidRDefault="00B86C1A" w:rsidP="00AF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F272C" w:rsidRPr="00746B00" w:rsidRDefault="00AF272C" w:rsidP="00AF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6B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72C" w:rsidRDefault="00AF272C" w:rsidP="00AF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6B00">
        <w:rPr>
          <w:rFonts w:ascii="Times New Roman" w:hAnsi="Times New Roman" w:cs="Times New Roman"/>
          <w:sz w:val="24"/>
          <w:szCs w:val="24"/>
        </w:rPr>
        <w:t xml:space="preserve">к решению Общественной палаты </w:t>
      </w:r>
    </w:p>
    <w:p w:rsidR="00AF272C" w:rsidRPr="00746B00" w:rsidRDefault="00AF272C" w:rsidP="00AF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6B00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AF272C" w:rsidRDefault="00AF272C" w:rsidP="00AF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46B00">
        <w:rPr>
          <w:rFonts w:ascii="Times New Roman" w:hAnsi="Times New Roman" w:cs="Times New Roman"/>
          <w:sz w:val="24"/>
          <w:szCs w:val="24"/>
        </w:rPr>
        <w:t xml:space="preserve">от </w:t>
      </w:r>
      <w:r w:rsidR="00894CB8">
        <w:rPr>
          <w:rFonts w:ascii="Times New Roman" w:hAnsi="Times New Roman" w:cs="Times New Roman"/>
          <w:sz w:val="24"/>
          <w:szCs w:val="24"/>
        </w:rPr>
        <w:t>15 марта</w:t>
      </w:r>
      <w:r>
        <w:rPr>
          <w:rFonts w:ascii="Times New Roman" w:hAnsi="Times New Roman" w:cs="Times New Roman"/>
          <w:sz w:val="24"/>
          <w:szCs w:val="24"/>
        </w:rPr>
        <w:t xml:space="preserve"> 2016 г. № </w:t>
      </w:r>
      <w:r w:rsidR="00894CB8">
        <w:rPr>
          <w:rFonts w:ascii="Times New Roman" w:hAnsi="Times New Roman" w:cs="Times New Roman"/>
          <w:sz w:val="24"/>
          <w:szCs w:val="24"/>
        </w:rPr>
        <w:t>8</w:t>
      </w:r>
    </w:p>
    <w:p w:rsidR="00AF272C" w:rsidRDefault="00AF272C" w:rsidP="00AF272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AF272C" w:rsidRPr="00AF272C" w:rsidRDefault="00AF272C" w:rsidP="00AF272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2C">
        <w:rPr>
          <w:rFonts w:ascii="Times New Roman" w:hAnsi="Times New Roman" w:cs="Times New Roman"/>
          <w:b/>
          <w:sz w:val="28"/>
          <w:szCs w:val="28"/>
        </w:rPr>
        <w:t>Изменения в Регламент</w:t>
      </w:r>
    </w:p>
    <w:p w:rsidR="00AF272C" w:rsidRDefault="00AF272C" w:rsidP="00AF272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72C">
        <w:rPr>
          <w:rFonts w:ascii="Times New Roman" w:hAnsi="Times New Roman" w:cs="Times New Roman"/>
          <w:b/>
          <w:sz w:val="28"/>
          <w:szCs w:val="28"/>
        </w:rPr>
        <w:t>Общественной палаты Гатчинского муниципального района</w:t>
      </w:r>
    </w:p>
    <w:p w:rsidR="00AF272C" w:rsidRDefault="00AF272C" w:rsidP="00AF272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598" w:type="dxa"/>
        <w:tblInd w:w="-709" w:type="dxa"/>
        <w:tblLook w:val="04A0"/>
      </w:tblPr>
      <w:tblGrid>
        <w:gridCol w:w="560"/>
        <w:gridCol w:w="1587"/>
        <w:gridCol w:w="4089"/>
        <w:gridCol w:w="4362"/>
      </w:tblGrid>
      <w:tr w:rsidR="00A82D72" w:rsidTr="00C21121">
        <w:tc>
          <w:tcPr>
            <w:tcW w:w="560" w:type="dxa"/>
          </w:tcPr>
          <w:p w:rsidR="00A82D72" w:rsidRPr="00C85D22" w:rsidRDefault="00A82D72" w:rsidP="00A8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5D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85D2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85D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dxa"/>
          </w:tcPr>
          <w:p w:rsidR="00A82D72" w:rsidRDefault="00A82D72" w:rsidP="00A8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D22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статьи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82D72" w:rsidRPr="00C85D22" w:rsidRDefault="00A82D72" w:rsidP="00A8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пункта</w:t>
            </w:r>
          </w:p>
        </w:tc>
        <w:tc>
          <w:tcPr>
            <w:tcW w:w="4110" w:type="dxa"/>
          </w:tcPr>
          <w:p w:rsidR="00A87D56" w:rsidRDefault="00A82D72" w:rsidP="0061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A82D72" w:rsidRPr="00C85D22" w:rsidRDefault="00A82D72" w:rsidP="0061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  <w:r w:rsidR="00617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Регламента</w:t>
            </w:r>
          </w:p>
        </w:tc>
        <w:tc>
          <w:tcPr>
            <w:tcW w:w="4678" w:type="dxa"/>
          </w:tcPr>
          <w:p w:rsidR="00A82D72" w:rsidRPr="00C85D22" w:rsidRDefault="00214761" w:rsidP="00A8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Редакция</w:t>
            </w:r>
            <w:r w:rsidR="00A82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изменения</w:t>
            </w:r>
          </w:p>
        </w:tc>
      </w:tr>
      <w:tr w:rsidR="00A82D72" w:rsidTr="00732297">
        <w:trPr>
          <w:trHeight w:val="1346"/>
        </w:trPr>
        <w:tc>
          <w:tcPr>
            <w:tcW w:w="560" w:type="dxa"/>
            <w:tcBorders>
              <w:bottom w:val="single" w:sz="4" w:space="0" w:color="auto"/>
            </w:tcBorders>
          </w:tcPr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A82D72" w:rsidRPr="00A82D72" w:rsidRDefault="00C2112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подп.2 пункта 1 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ст.11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82D72" w:rsidRPr="00A82D72" w:rsidRDefault="00A82D72" w:rsidP="00A82D72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1.2) предоставляет слово по мере поступления и регистрации заявок;</w:t>
            </w:r>
          </w:p>
          <w:p w:rsidR="00A82D72" w:rsidRPr="00A82D72" w:rsidRDefault="00A82D72" w:rsidP="00A82D72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82D72" w:rsidRPr="00A82D72" w:rsidRDefault="00A82D72" w:rsidP="00732297">
            <w:pPr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1.2) предоставляет слово в соответствии с утвержденной повесткой </w:t>
            </w:r>
            <w:r w:rsidR="00732297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 заявок;</w:t>
            </w:r>
          </w:p>
        </w:tc>
      </w:tr>
      <w:tr w:rsidR="00C21121" w:rsidTr="00F94FFA">
        <w:trPr>
          <w:trHeight w:val="3947"/>
        </w:trPr>
        <w:tc>
          <w:tcPr>
            <w:tcW w:w="560" w:type="dxa"/>
            <w:tcBorders>
              <w:top w:val="single" w:sz="4" w:space="0" w:color="auto"/>
            </w:tcBorders>
          </w:tcPr>
          <w:p w:rsidR="00C21121" w:rsidRPr="00A82D72" w:rsidRDefault="006C70E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:rsidR="00C21121" w:rsidRDefault="00C2112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подп.1 пункта 2 ст.11</w:t>
            </w: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121" w:rsidRDefault="00C2112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121" w:rsidRDefault="00C2112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21121" w:rsidRPr="00F94FFA" w:rsidRDefault="00C21121" w:rsidP="00A82D72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>2.1) в случае нарушения положений настоящего Регламента предупреждать члена Общественной палаты о недопустимости нарушения Регламента, а при повторном нарушении лишать его слова. Член Общественной палаты, допустивший грубые, оскорбительные выражения, лишается слова без предупреждения;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21121" w:rsidRPr="00A82D72" w:rsidRDefault="00C21121" w:rsidP="00A82D72">
            <w:pPr>
              <w:pStyle w:val="ConsPlusNormal"/>
              <w:ind w:lef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2.1) в случае нарушения положений настоящего Регламента предупреждать выступающего о недопустимости нарушения Регламента, а при повторном нарушении лишать его слова. </w:t>
            </w:r>
            <w:proofErr w:type="gramStart"/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Выступающий</w:t>
            </w:r>
            <w:proofErr w:type="gramEnd"/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, допустивший грубые, оскорбительные выражения, лишается слова без предупреждения;</w:t>
            </w:r>
          </w:p>
        </w:tc>
      </w:tr>
      <w:tr w:rsidR="00A82D72" w:rsidTr="00C21121">
        <w:tc>
          <w:tcPr>
            <w:tcW w:w="560" w:type="dxa"/>
          </w:tcPr>
          <w:p w:rsidR="00A82D72" w:rsidRPr="00A82D72" w:rsidRDefault="006C70E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</w:tcPr>
          <w:p w:rsidR="00A82D72" w:rsidRPr="00A82D72" w:rsidRDefault="00C2112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Подпункты 1,2,3 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>ст.13</w:t>
            </w:r>
          </w:p>
          <w:p w:rsidR="00A82D72" w:rsidRPr="00A82D72" w:rsidRDefault="00C2112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A82D72" w:rsidRPr="00F94FFA" w:rsidRDefault="00A82D72" w:rsidP="00A82D72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>1. Член Общественной палаты выступает на  заседаниях в порядке, определенном председателем Общественной палаты.</w:t>
            </w:r>
          </w:p>
          <w:p w:rsidR="00A82D72" w:rsidRPr="00F94FFA" w:rsidRDefault="00A82D72" w:rsidP="00A82D72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 xml:space="preserve">2. Время для доклада на заседании устанавливается в пределах пятнадцати минут. </w:t>
            </w:r>
            <w:proofErr w:type="gramStart"/>
            <w:r w:rsidRPr="00F94FFA">
              <w:rPr>
                <w:rFonts w:ascii="Times New Roman" w:hAnsi="Times New Roman" w:cs="Times New Roman"/>
                <w:sz w:val="28"/>
                <w:szCs w:val="28"/>
              </w:rPr>
              <w:t xml:space="preserve">Для содокладов и выступлений в прениях - до десяти минут, для повторных выступлений в прениях - до пяти минут, для выступлений по процедурным вопросам, внесения изменений в порядок работы, предложенный советом Общественной палаты, обоснования принятия или отклонения внесенных поправок к проектам решений </w:t>
            </w:r>
            <w:r w:rsidRPr="00F94F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Палаты по рассматриваемым Палатой кандидатурам, для ответов на вопросы, сообщений, справок - до трех минут.</w:t>
            </w:r>
            <w:proofErr w:type="gramEnd"/>
            <w:r w:rsidRPr="00F94FFA">
              <w:rPr>
                <w:rFonts w:ascii="Times New Roman" w:hAnsi="Times New Roman" w:cs="Times New Roman"/>
                <w:sz w:val="28"/>
                <w:szCs w:val="28"/>
              </w:rPr>
              <w:t xml:space="preserve"> По порядку работы и ведения заседания Общественной палаты - не более одной минуты.</w:t>
            </w:r>
          </w:p>
          <w:p w:rsidR="00A82D72" w:rsidRPr="00F94FFA" w:rsidRDefault="00A82D72" w:rsidP="00A82D72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 xml:space="preserve">3. Каждый член Общественной палаты должен придерживаться темы обсуждаемого вопроса. Если выступающий отклоняется от нее, председатель вправе напомнить ему об этом. Если замечание не принимается </w:t>
            </w:r>
            <w:proofErr w:type="gramStart"/>
            <w:r w:rsidRPr="00F94FFA">
              <w:rPr>
                <w:rFonts w:ascii="Times New Roman" w:hAnsi="Times New Roman" w:cs="Times New Roman"/>
                <w:sz w:val="28"/>
                <w:szCs w:val="28"/>
              </w:rPr>
              <w:t>выступающим</w:t>
            </w:r>
            <w:proofErr w:type="gramEnd"/>
            <w:r w:rsidRPr="00F94FFA">
              <w:rPr>
                <w:rFonts w:ascii="Times New Roman" w:hAnsi="Times New Roman" w:cs="Times New Roman"/>
                <w:sz w:val="28"/>
                <w:szCs w:val="28"/>
              </w:rPr>
              <w:t xml:space="preserve"> во внимание, председатель может прервать выступление.</w:t>
            </w:r>
          </w:p>
        </w:tc>
        <w:tc>
          <w:tcPr>
            <w:tcW w:w="4678" w:type="dxa"/>
          </w:tcPr>
          <w:p w:rsidR="00A82D72" w:rsidRPr="00A82D72" w:rsidRDefault="00A82D72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Член</w:t>
            </w:r>
            <w:r w:rsidR="00732297">
              <w:rPr>
                <w:rFonts w:ascii="Times New Roman" w:hAnsi="Times New Roman" w:cs="Times New Roman"/>
                <w:sz w:val="28"/>
                <w:szCs w:val="28"/>
              </w:rPr>
              <w:t>ы Общественной палаты и</w:t>
            </w: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приглашенные выступают на  заседаниях в порядке, определенном председателем Общественной палаты.</w:t>
            </w:r>
          </w:p>
          <w:p w:rsidR="00A82D72" w:rsidRPr="00A82D72" w:rsidRDefault="00A82D72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2. Время для доклада на заседании устанавливается в пределах пятнадцати минут. Для содокладов и выступлений в прениях - до десяти минут, для повторных выступлений в прениях - до пяти минут, для выступлений по процедурным вопросам, внесения изменений в порядок работы, предложенный советом Общественной палаты, обоснования принятия или отклонения внесенных поправок к проектам решений Палаты, для ответов на вопросы, сообщений, </w:t>
            </w:r>
            <w:r w:rsidRPr="00A82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справок - до трех минут. По порядку работы и ведения заседания Общественной палаты - не более одной минуты.</w:t>
            </w:r>
          </w:p>
          <w:p w:rsidR="00A82D72" w:rsidRPr="00A82D72" w:rsidRDefault="00A82D72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3. Каждый выступающий должен придерживаться темы обсуждаемого вопроса. Если выступающий отклоняется от нее, председатель вправе напомнить ему об этом. Если замечание не принимается </w:t>
            </w:r>
            <w:proofErr w:type="gramStart"/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выступающим</w:t>
            </w:r>
            <w:proofErr w:type="gramEnd"/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 во внимание, председатель может прервать выступление.</w:t>
            </w:r>
          </w:p>
        </w:tc>
      </w:tr>
      <w:tr w:rsidR="006C70E1" w:rsidTr="00F94FFA">
        <w:trPr>
          <w:trHeight w:val="7726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A82D72" w:rsidRPr="00A82D72" w:rsidRDefault="006C70E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</w:tcBorders>
          </w:tcPr>
          <w:p w:rsidR="00A82D72" w:rsidRPr="00A82D72" w:rsidRDefault="006C70E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2297">
              <w:rPr>
                <w:rFonts w:ascii="Times New Roman" w:hAnsi="Times New Roman" w:cs="Times New Roman"/>
                <w:sz w:val="28"/>
                <w:szCs w:val="28"/>
              </w:rPr>
              <w:t xml:space="preserve">ункт 1 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ст.18 </w:t>
            </w:r>
            <w:r w:rsidR="00732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A82D72" w:rsidRPr="00F94FFA" w:rsidRDefault="00A82D72" w:rsidP="00A82D72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>1. В заседаниях совета Общественной палаты принимают участие:</w:t>
            </w:r>
          </w:p>
          <w:p w:rsidR="00A82D72" w:rsidRPr="00F94FFA" w:rsidRDefault="00A82D72" w:rsidP="00A82D72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>1) члены Общественной палаты, предложения которых внесены в план очередного заседания Общественной палаты;</w:t>
            </w:r>
          </w:p>
          <w:p w:rsidR="00A82D72" w:rsidRPr="00F94FFA" w:rsidRDefault="00A82D72" w:rsidP="00A82D72">
            <w:pPr>
              <w:pStyle w:val="a3"/>
              <w:tabs>
                <w:tab w:val="left" w:pos="851"/>
              </w:tabs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2) глава Гатчинского муниципального района, депутаты совета депутатов Гатчинского муниципального района, глава администрации Гатчинского муниципального района, заместители главы администрации Гатчинского муниципального района, должностные лица органов местного самоуправления Гатчинского муниципального района.</w:t>
            </w:r>
          </w:p>
          <w:p w:rsidR="00A82D72" w:rsidRPr="00F94FFA" w:rsidRDefault="00A82D72" w:rsidP="00F94FF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>3) иные лица по приглашению совета Общественной палаты.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82D72" w:rsidRPr="00A82D72" w:rsidRDefault="00A82D72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1. В заседаниях совета Общественной палаты:</w:t>
            </w:r>
          </w:p>
          <w:p w:rsidR="00A82D72" w:rsidRPr="00A82D72" w:rsidRDefault="00A82D72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479EC"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участие </w:t>
            </w: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палаты, предложения которых внесены в план очередного заседания Общественной палаты;</w:t>
            </w:r>
          </w:p>
          <w:p w:rsidR="00A82D72" w:rsidRPr="00A82D72" w:rsidRDefault="006C70E1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479EC">
              <w:rPr>
                <w:rFonts w:ascii="Times New Roman" w:hAnsi="Times New Roman" w:cs="Times New Roman"/>
                <w:sz w:val="28"/>
                <w:szCs w:val="28"/>
              </w:rPr>
              <w:t xml:space="preserve">могут принимать участие 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органов местного самоуправления Гатчинского муниципального района и иные лица по приглашению совета Общественной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>палаты.</w:t>
            </w:r>
          </w:p>
          <w:p w:rsidR="00A82D72" w:rsidRPr="00A82D72" w:rsidRDefault="00A82D72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121" w:rsidRDefault="00C21121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D72" w:rsidRPr="00A82D72" w:rsidRDefault="00A82D72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121" w:rsidTr="00C21121">
        <w:trPr>
          <w:trHeight w:val="1490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C21121" w:rsidRPr="00A82D72" w:rsidRDefault="006C70E1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</w:tcBorders>
          </w:tcPr>
          <w:p w:rsidR="00C21121" w:rsidRPr="00A82D72" w:rsidRDefault="006C70E1" w:rsidP="006C7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r w:rsidR="00C21121" w:rsidRPr="00A82D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ст.18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C21121" w:rsidRPr="00F94FFA" w:rsidRDefault="00C21121" w:rsidP="00A82D72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>2. Совет Общественной палаты собирается, как правило, один раз в месяц.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C21121" w:rsidRPr="00A82D72" w:rsidRDefault="00C21121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Заседания С</w:t>
            </w: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овета общественной палаты проводятся по мере необходимости, но не реже одного раза в квартал.</w:t>
            </w:r>
          </w:p>
        </w:tc>
      </w:tr>
      <w:tr w:rsidR="00A82D72" w:rsidTr="00C21121">
        <w:tc>
          <w:tcPr>
            <w:tcW w:w="560" w:type="dxa"/>
          </w:tcPr>
          <w:p w:rsidR="00A82D72" w:rsidRPr="00A82D72" w:rsidRDefault="006179C5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</w:tcPr>
          <w:p w:rsidR="006C70E1" w:rsidRDefault="006C70E1" w:rsidP="006C7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13 с</w:t>
            </w: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т.24</w:t>
            </w:r>
          </w:p>
          <w:p w:rsidR="00A82D72" w:rsidRPr="00A82D72" w:rsidRDefault="00A82D72" w:rsidP="006C7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C70E1" w:rsidRPr="00F94FFA" w:rsidRDefault="006C70E1" w:rsidP="006C70E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>13) избирают (освобождают) большинством голосов от общего числа членов комиссии председателя и заместителя председателя комиссии Общественной палаты;</w:t>
            </w:r>
          </w:p>
        </w:tc>
        <w:tc>
          <w:tcPr>
            <w:tcW w:w="4678" w:type="dxa"/>
          </w:tcPr>
          <w:p w:rsidR="006C70E1" w:rsidRPr="00A82D72" w:rsidRDefault="006C70E1" w:rsidP="006C70E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13) избирают (освобождают) большинством голосов от общего числа </w:t>
            </w:r>
            <w:proofErr w:type="gramStart"/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членов комиссии заместителя председателя комиссии Общественной палаты</w:t>
            </w:r>
            <w:proofErr w:type="gramEnd"/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0E1" w:rsidRPr="00A82D72" w:rsidRDefault="006C70E1" w:rsidP="006C70E1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72" w:rsidTr="00C21121">
        <w:tc>
          <w:tcPr>
            <w:tcW w:w="560" w:type="dxa"/>
          </w:tcPr>
          <w:p w:rsidR="00A82D72" w:rsidRPr="00A82D72" w:rsidRDefault="006179C5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</w:tcPr>
          <w:p w:rsidR="00A82D72" w:rsidRPr="00A82D72" w:rsidRDefault="006C70E1" w:rsidP="006C7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подп.3 пункта 1 </w:t>
            </w: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ст.25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A82D72" w:rsidRPr="00F94FFA" w:rsidRDefault="006C70E1" w:rsidP="006C70E1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 xml:space="preserve">3) уведомляет членов данной комиссии о месте и времени очередного заседания комиссии не менее чем за двое суток, а также заблаговременно информирует об этом других членов Общественной палаты и иных участников заседания </w:t>
            </w:r>
            <w:r w:rsidRPr="00F94FFA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en-US"/>
              </w:rPr>
              <w:t>любым возможным способом (</w:t>
            </w:r>
            <w:r w:rsidRPr="00F94FF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en-US"/>
              </w:rPr>
              <w:t>письменно</w:t>
            </w:r>
            <w:r w:rsidRPr="00F94FFA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en-US"/>
              </w:rPr>
              <w:t>,</w:t>
            </w:r>
            <w:r w:rsidRPr="00F94FFA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 w:bidi="en-US"/>
              </w:rPr>
              <w:t> </w:t>
            </w:r>
            <w:r w:rsidRPr="00F94FFA">
              <w:rPr>
                <w:rFonts w:ascii="Times New Roman" w:eastAsiaTheme="minorHAnsi" w:hAnsi="Times New Roman" w:cs="Times New Roman"/>
                <w:bCs/>
                <w:sz w:val="28"/>
                <w:szCs w:val="28"/>
                <w:lang w:eastAsia="en-US" w:bidi="en-US"/>
              </w:rPr>
              <w:t>телефонограммой</w:t>
            </w:r>
            <w:r w:rsidRPr="00F94FFA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 w:bidi="en-US"/>
              </w:rPr>
              <w:t>, факсом или по электронной почте)</w:t>
            </w: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678" w:type="dxa"/>
          </w:tcPr>
          <w:p w:rsidR="006C70E1" w:rsidRDefault="006C70E1" w:rsidP="006C70E1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3) уведомляет членов данной комиссии, а так же иных участников заседания, о месте и времени проведения очередного заседания комиссии не менее чем за двое суток любым возможным способом (письменно, телефонограммой, факсом или по электронной почте);</w:t>
            </w:r>
          </w:p>
          <w:p w:rsidR="00A82D72" w:rsidRPr="00A82D72" w:rsidRDefault="00A82D72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D72" w:rsidTr="00C21121">
        <w:tc>
          <w:tcPr>
            <w:tcW w:w="560" w:type="dxa"/>
          </w:tcPr>
          <w:p w:rsidR="00A82D72" w:rsidRPr="00A82D72" w:rsidRDefault="006179C5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0" w:type="dxa"/>
          </w:tcPr>
          <w:p w:rsidR="00A82D72" w:rsidRPr="00A82D72" w:rsidRDefault="006C70E1" w:rsidP="006C7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3 </w:t>
            </w:r>
            <w:r w:rsidR="00A82D72" w:rsidRPr="00A82D72">
              <w:rPr>
                <w:rFonts w:ascii="Times New Roman" w:hAnsi="Times New Roman" w:cs="Times New Roman"/>
                <w:sz w:val="28"/>
                <w:szCs w:val="28"/>
              </w:rPr>
              <w:t xml:space="preserve">ст.26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A82D72" w:rsidRPr="00F94FFA" w:rsidRDefault="00A82D72" w:rsidP="00A82D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FFA">
              <w:rPr>
                <w:rFonts w:ascii="Times New Roman" w:hAnsi="Times New Roman" w:cs="Times New Roman"/>
                <w:sz w:val="28"/>
                <w:szCs w:val="28"/>
              </w:rPr>
              <w:t>3. Заседания комиссии проводятся по мере необходимости, но не реже одного раза в месяц.</w:t>
            </w:r>
          </w:p>
        </w:tc>
        <w:tc>
          <w:tcPr>
            <w:tcW w:w="4678" w:type="dxa"/>
          </w:tcPr>
          <w:p w:rsidR="00A82D72" w:rsidRPr="00A82D72" w:rsidRDefault="00A82D72" w:rsidP="00A82D72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D72">
              <w:rPr>
                <w:rFonts w:ascii="Times New Roman" w:hAnsi="Times New Roman" w:cs="Times New Roman"/>
                <w:sz w:val="28"/>
                <w:szCs w:val="28"/>
              </w:rPr>
              <w:t>3. Заседания комиссии проводятся по мере необходимости, но не реже одного раза в квартал.</w:t>
            </w:r>
          </w:p>
        </w:tc>
      </w:tr>
      <w:tr w:rsidR="00D31C19" w:rsidTr="00C21121">
        <w:tc>
          <w:tcPr>
            <w:tcW w:w="560" w:type="dxa"/>
          </w:tcPr>
          <w:p w:rsidR="00D31C19" w:rsidRDefault="00D31C19" w:rsidP="00A82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50" w:type="dxa"/>
          </w:tcPr>
          <w:p w:rsidR="00D31C19" w:rsidRDefault="00D31C19" w:rsidP="00D31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 </w:t>
            </w:r>
            <w:r w:rsidRPr="005D49EC">
              <w:rPr>
                <w:rFonts w:ascii="Times New Roman" w:hAnsi="Times New Roman" w:cs="Times New Roman"/>
                <w:sz w:val="28"/>
                <w:szCs w:val="28"/>
              </w:rPr>
              <w:t xml:space="preserve">ст.33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:rsidR="00D31C19" w:rsidRPr="00625DAC" w:rsidRDefault="00D31C19" w:rsidP="00D31C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AC">
              <w:rPr>
                <w:rFonts w:ascii="Times New Roman" w:hAnsi="Times New Roman" w:cs="Times New Roman"/>
                <w:sz w:val="28"/>
                <w:szCs w:val="28"/>
              </w:rPr>
              <w:t>1. Предложения о внесении изменений в Регламент могут вноситься членами Общественной палаты и органами Общественной палаты.</w:t>
            </w:r>
          </w:p>
          <w:p w:rsidR="00D31C19" w:rsidRPr="00625DAC" w:rsidRDefault="00D31C19" w:rsidP="00D31C1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5DAC">
              <w:rPr>
                <w:rFonts w:ascii="Times New Roman" w:hAnsi="Times New Roman" w:cs="Times New Roman"/>
                <w:sz w:val="28"/>
                <w:szCs w:val="28"/>
              </w:rPr>
              <w:t>Инициаторы внесения изменений в Регламент направляют свои предложения на рассмотрение рабочей группы, которая готовит проект изменений в Регламент Общественной палаты и вносит его на рассмотрение совета Общественной палаты.</w:t>
            </w:r>
          </w:p>
          <w:p w:rsidR="00D31C19" w:rsidRPr="00F94FFA" w:rsidRDefault="00D31C19" w:rsidP="00A82D7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31C19" w:rsidRPr="00D31C19" w:rsidRDefault="00D31C19" w:rsidP="00D31C19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19">
              <w:rPr>
                <w:rFonts w:ascii="Times New Roman" w:hAnsi="Times New Roman" w:cs="Times New Roman"/>
                <w:sz w:val="28"/>
                <w:szCs w:val="28"/>
              </w:rPr>
              <w:t>1. Предложения о внесении изменений в Регламент могут вноситься членами Общественной палаты и органами Общественной палаты.</w:t>
            </w:r>
          </w:p>
          <w:p w:rsidR="00D31C19" w:rsidRPr="00A82D72" w:rsidRDefault="00D31C19" w:rsidP="00D31C19">
            <w:pPr>
              <w:pStyle w:val="ConsPlusNormal"/>
              <w:ind w:firstLine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C19">
              <w:rPr>
                <w:rFonts w:ascii="Times New Roman" w:hAnsi="Times New Roman" w:cs="Times New Roman"/>
                <w:sz w:val="28"/>
                <w:szCs w:val="28"/>
              </w:rPr>
              <w:t>Инициаторы внесения изменений в Регламент направляют свои предложения на рассмотрение в совет  Общественной палаты, либо рабочей группе (если такая была создана), которая готовит проект изменений в Регламент Общественной палаты и вносит его на рассмотрение совета Общественной палаты.</w:t>
            </w:r>
          </w:p>
        </w:tc>
      </w:tr>
    </w:tbl>
    <w:p w:rsidR="00AF272C" w:rsidRPr="00AF272C" w:rsidRDefault="00AF272C" w:rsidP="00AF272C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2C" w:rsidRDefault="00AF272C"/>
    <w:p w:rsidR="00AF272C" w:rsidRDefault="00AF272C"/>
    <w:sectPr w:rsidR="00AF272C" w:rsidSect="00D31C1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A49"/>
    <w:rsid w:val="00014A94"/>
    <w:rsid w:val="00055E29"/>
    <w:rsid w:val="000603E7"/>
    <w:rsid w:val="000914E6"/>
    <w:rsid w:val="001C3B79"/>
    <w:rsid w:val="001D631E"/>
    <w:rsid w:val="00214761"/>
    <w:rsid w:val="004238FA"/>
    <w:rsid w:val="0043711C"/>
    <w:rsid w:val="00446D1D"/>
    <w:rsid w:val="00462A49"/>
    <w:rsid w:val="00474796"/>
    <w:rsid w:val="00544718"/>
    <w:rsid w:val="006179C5"/>
    <w:rsid w:val="006A6556"/>
    <w:rsid w:val="006C70E1"/>
    <w:rsid w:val="006F5EC3"/>
    <w:rsid w:val="00732297"/>
    <w:rsid w:val="007455AA"/>
    <w:rsid w:val="007E4F7A"/>
    <w:rsid w:val="00894CB8"/>
    <w:rsid w:val="0090069D"/>
    <w:rsid w:val="009D057C"/>
    <w:rsid w:val="00A617B1"/>
    <w:rsid w:val="00A82D72"/>
    <w:rsid w:val="00A87D56"/>
    <w:rsid w:val="00AD33DF"/>
    <w:rsid w:val="00AF272C"/>
    <w:rsid w:val="00B07E49"/>
    <w:rsid w:val="00B479EC"/>
    <w:rsid w:val="00B86C1A"/>
    <w:rsid w:val="00BA7571"/>
    <w:rsid w:val="00C21121"/>
    <w:rsid w:val="00D31C19"/>
    <w:rsid w:val="00D40672"/>
    <w:rsid w:val="00EE2369"/>
    <w:rsid w:val="00F9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E6"/>
  </w:style>
  <w:style w:type="paragraph" w:styleId="1">
    <w:name w:val="heading 1"/>
    <w:basedOn w:val="a"/>
    <w:next w:val="a"/>
    <w:link w:val="10"/>
    <w:uiPriority w:val="99"/>
    <w:qFormat/>
    <w:rsid w:val="005447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A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basedOn w:val="a"/>
    <w:link w:val="a4"/>
    <w:uiPriority w:val="1"/>
    <w:qFormat/>
    <w:rsid w:val="00462A4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462A49"/>
    <w:rPr>
      <w:rFonts w:eastAsiaTheme="minorHAnsi"/>
      <w:lang w:val="en-US" w:eastAsia="en-US" w:bidi="en-US"/>
    </w:rPr>
  </w:style>
  <w:style w:type="paragraph" w:styleId="a5">
    <w:name w:val="List Paragraph"/>
    <w:basedOn w:val="a"/>
    <w:uiPriority w:val="34"/>
    <w:qFormat/>
    <w:rsid w:val="0043711C"/>
    <w:pPr>
      <w:ind w:left="720"/>
      <w:contextualSpacing/>
    </w:pPr>
  </w:style>
  <w:style w:type="table" w:styleId="a6">
    <w:name w:val="Table Grid"/>
    <w:basedOn w:val="a1"/>
    <w:uiPriority w:val="59"/>
    <w:rsid w:val="00423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44718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7">
    <w:name w:val="caption"/>
    <w:basedOn w:val="a"/>
    <w:uiPriority w:val="99"/>
    <w:semiHidden/>
    <w:unhideWhenUsed/>
    <w:qFormat/>
    <w:rsid w:val="005447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5447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4471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44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Корнеева Евгения Георгиевна</cp:lastModifiedBy>
  <cp:revision>23</cp:revision>
  <cp:lastPrinted>2016-03-18T11:13:00Z</cp:lastPrinted>
  <dcterms:created xsi:type="dcterms:W3CDTF">2016-01-18T06:06:00Z</dcterms:created>
  <dcterms:modified xsi:type="dcterms:W3CDTF">2016-03-18T11:13:00Z</dcterms:modified>
</cp:coreProperties>
</file>