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D11172">
        <w:rPr>
          <w:sz w:val="22"/>
        </w:rPr>
        <w:t>38</w:t>
      </w:r>
      <w:r w:rsidRPr="00DF29C5">
        <w:rPr>
          <w:sz w:val="22"/>
        </w:rPr>
        <w:t xml:space="preserve"> 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от №</w:t>
      </w:r>
    </w:p>
    <w:p w:rsidR="008010E6" w:rsidRPr="00DF29C5" w:rsidRDefault="008010E6"/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</w:p>
    <w:p w:rsidR="008010E6" w:rsidRPr="00DF29C5" w:rsidRDefault="008010E6"/>
    <w:p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 xml:space="preserve">, </w:t>
      </w:r>
      <w:r w:rsidR="006B2625" w:rsidRPr="00DF29C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>
        <w:rPr>
          <w:color w:val="000000"/>
          <w:spacing w:val="-3"/>
          <w:szCs w:val="28"/>
        </w:rPr>
        <w:t>муниципальных</w:t>
      </w:r>
      <w:r w:rsidRPr="00DF29C5">
        <w:rPr>
          <w:color w:val="000000"/>
          <w:spacing w:val="-3"/>
          <w:szCs w:val="28"/>
        </w:rPr>
        <w:t xml:space="preserve"> унитарных предприятий;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Оценка надежности (ликвидности) банковской гарантии, 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 xml:space="preserve">эти счета, об оборотах и средних остатках по ним за </w:t>
      </w:r>
      <w:r w:rsidRPr="00DF29C5">
        <w:rPr>
          <w:color w:val="000000"/>
          <w:spacing w:val="3"/>
          <w:szCs w:val="28"/>
        </w:rPr>
        <w:lastRenderedPageBreak/>
        <w:t>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</w:t>
      </w:r>
      <w:r w:rsidR="003C5AB8">
        <w:rPr>
          <w:szCs w:val="28"/>
        </w:rPr>
        <w:t>с</w:t>
      </w:r>
      <w:r w:rsidR="004D3446"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</w:t>
      </w:r>
      <w:r w:rsidR="003C5AB8">
        <w:rPr>
          <w:szCs w:val="28"/>
        </w:rPr>
        <w:t>с</w:t>
      </w:r>
      <w:r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После издания </w:t>
      </w:r>
      <w:r w:rsidR="003C5AB8">
        <w:rPr>
          <w:szCs w:val="28"/>
        </w:rPr>
        <w:t>п</w:t>
      </w:r>
      <w:r w:rsidRPr="00DF29C5">
        <w:rPr>
          <w:szCs w:val="28"/>
        </w:rPr>
        <w:t>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бенефициара: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:rsidR="004D3446" w:rsidRPr="00DF29C5" w:rsidRDefault="004D3446" w:rsidP="004D3446"/>
    <w:p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:rsidR="003E5C7B" w:rsidRPr="00DF29C5" w:rsidRDefault="003E5C7B" w:rsidP="004D3446">
      <w:pPr>
        <w:ind w:firstLine="709"/>
        <w:rPr>
          <w:szCs w:val="28"/>
        </w:rPr>
      </w:pP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</w:t>
      </w:r>
      <w:r w:rsidRPr="00DF29C5">
        <w:rPr>
          <w:spacing w:val="7"/>
          <w:szCs w:val="28"/>
        </w:rPr>
        <w:lastRenderedPageBreak/>
        <w:t>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бюджета Гатчинского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="003C5AB8">
        <w:rPr>
          <w:spacing w:val="7"/>
          <w:szCs w:val="28"/>
        </w:rPr>
        <w:t>с</w:t>
      </w:r>
      <w:r w:rsidRPr="00DF29C5">
        <w:rPr>
          <w:spacing w:val="7"/>
          <w:szCs w:val="28"/>
        </w:rPr>
        <w:t xml:space="preserve">овет депутатов Гатчинского муниципального района </w:t>
      </w:r>
      <w:r w:rsidRPr="00DF29C5">
        <w:rPr>
          <w:szCs w:val="28"/>
        </w:rPr>
        <w:t>отчет о выданных муниципальны</w:t>
      </w:r>
      <w:bookmarkStart w:id="0" w:name="_GoBack"/>
      <w:bookmarkEnd w:id="0"/>
      <w:r w:rsidRPr="00DF29C5">
        <w:rPr>
          <w:szCs w:val="28"/>
        </w:rPr>
        <w:t>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</w:t>
      </w:r>
      <w:r w:rsidRPr="00DF29C5">
        <w:rPr>
          <w:szCs w:val="28"/>
        </w:rPr>
        <w:lastRenderedPageBreak/>
        <w:t>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3446"/>
    <w:rsid w:val="004F3014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503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12CEA-9869-45C4-B753-52EBACAE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5</cp:revision>
  <cp:lastPrinted>2019-11-25T07:39:00Z</cp:lastPrinted>
  <dcterms:created xsi:type="dcterms:W3CDTF">2021-09-20T11:36:00Z</dcterms:created>
  <dcterms:modified xsi:type="dcterms:W3CDTF">2021-11-15T11:40:00Z</dcterms:modified>
</cp:coreProperties>
</file>