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31DB2E5D" w14:textId="7BB72266" w:rsidR="00C42DBD" w:rsidRDefault="00C42DBD" w:rsidP="00C42DBD">
      <w:pPr>
        <w:ind w:firstLine="709"/>
        <w:jc w:val="both"/>
      </w:pPr>
      <w:r>
        <w:t xml:space="preserve">Начало приема заявок: 09 часов 00 минут </w:t>
      </w:r>
      <w:r w:rsidR="00000BA8">
        <w:t>11.06</w:t>
      </w:r>
      <w:r>
        <w:t>.2025</w:t>
      </w:r>
    </w:p>
    <w:p w14:paraId="408E83BF" w14:textId="475E00A6" w:rsidR="00C42DBD" w:rsidRDefault="00C42DBD" w:rsidP="00C42DBD">
      <w:pPr>
        <w:ind w:firstLine="709"/>
        <w:jc w:val="both"/>
      </w:pPr>
      <w:r>
        <w:t xml:space="preserve">Окончание приема заявок: 09 часов 00 минут </w:t>
      </w:r>
      <w:r w:rsidR="008F61E9">
        <w:t>01.07</w:t>
      </w:r>
      <w:r>
        <w:t>.2025</w:t>
      </w:r>
    </w:p>
    <w:p w14:paraId="366107AF" w14:textId="600B45A8" w:rsidR="00C42DBD" w:rsidRDefault="00C42DBD" w:rsidP="00C42DBD">
      <w:pPr>
        <w:ind w:firstLine="709"/>
        <w:jc w:val="both"/>
      </w:pPr>
      <w:r>
        <w:t xml:space="preserve">Дата рассмотрения заявок: </w:t>
      </w:r>
      <w:r w:rsidR="008F61E9">
        <w:t>02.07</w:t>
      </w:r>
      <w:r>
        <w:t>.2025</w:t>
      </w:r>
    </w:p>
    <w:p w14:paraId="0E78D056" w14:textId="00569D18" w:rsidR="00C07F50" w:rsidRDefault="00C42DBD" w:rsidP="00C42DBD">
      <w:pPr>
        <w:ind w:firstLine="709"/>
        <w:jc w:val="both"/>
      </w:pPr>
      <w:r>
        <w:t xml:space="preserve">Дата и время проведения аукциона: 09 часов 00 минут </w:t>
      </w:r>
      <w:r w:rsidR="008F61E9">
        <w:t>03.07</w:t>
      </w:r>
      <w:r>
        <w:t>.2025</w:t>
      </w:r>
    </w:p>
    <w:p w14:paraId="5A92259E" w14:textId="77777777" w:rsidR="00C42DBD" w:rsidRDefault="00C42DBD" w:rsidP="00C42DBD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1E55FEB3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460841" w:rsidRPr="00460841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Аукцион является открытым по составу участников.</w:t>
      </w:r>
    </w:p>
    <w:p w14:paraId="0FF3E2C6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1A4F7271" w14:textId="26BEE57F" w:rsidR="00824775" w:rsidRPr="00824775" w:rsidRDefault="00A1799C" w:rsidP="00AC2AA8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A64837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2E3EE8">
        <w:rPr>
          <w:lang w:eastAsia="x-none"/>
        </w:rPr>
        <w:t>05.06</w:t>
      </w:r>
      <w:r w:rsidR="00A64837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2E3EE8">
        <w:rPr>
          <w:lang w:eastAsia="x-none"/>
        </w:rPr>
        <w:t>4832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AC2AA8">
        <w:rPr>
          <w:lang w:eastAsia="x-none"/>
        </w:rPr>
        <w:t>О проведении аукциона на право заключения договора аренды земельного участка с кадастровым номером 47:00:0000000:40268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6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7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8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 xml:space="preserve"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</w:t>
      </w:r>
      <w:r>
        <w:lastRenderedPageBreak/>
        <w:t>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9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0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4E682ADC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="00EC5791">
        <w:rPr>
          <w:lang w:eastAsia="x-none"/>
        </w:rPr>
        <w:t xml:space="preserve"> </w:t>
      </w:r>
      <w:r w:rsidR="004668C3" w:rsidRPr="004668C3">
        <w:rPr>
          <w:lang w:eastAsia="x-none"/>
        </w:rPr>
        <w:t>с кадастровым номером</w:t>
      </w:r>
      <w:r w:rsidR="00CB54D9">
        <w:rPr>
          <w:lang w:eastAsia="x-none"/>
        </w:rPr>
        <w:t xml:space="preserve"> </w:t>
      </w:r>
      <w:r w:rsidR="00700F8D" w:rsidRPr="00700F8D">
        <w:rPr>
          <w:lang w:eastAsia="x-none"/>
        </w:rPr>
        <w:t>47:00:0000000:40268, площадью 22 404 (двадцать две тысячи четыреста четыре) кв.м., расположенного по адресу: Российская Федерация, Ленинградская область, Гатчинский муниципальный район, город Гатчина</w:t>
      </w:r>
      <w:r w:rsidRPr="00824775">
        <w:rPr>
          <w:lang w:eastAsia="x-none"/>
        </w:rPr>
        <w:t>.</w:t>
      </w:r>
    </w:p>
    <w:p w14:paraId="2D09EEB1" w14:textId="32C584C7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CB54D9" w:rsidRPr="00CB54D9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19740084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700F8D" w:rsidRPr="00700F8D">
        <w:rPr>
          <w:bCs/>
          <w:lang w:eastAsia="x-none"/>
        </w:rPr>
        <w:t>тяжелая промышленность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1CFFC355" w14:textId="77777777" w:rsidR="00824775" w:rsidRPr="00F61CE3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</w:p>
    <w:p w14:paraId="4AC21437" w14:textId="26D283AA" w:rsidR="00F0536F" w:rsidRDefault="008A1DB3" w:rsidP="0075185A">
      <w:pPr>
        <w:ind w:right="68" w:firstLine="709"/>
        <w:jc w:val="both"/>
        <w:rPr>
          <w:bCs/>
        </w:rPr>
      </w:pPr>
      <w:r w:rsidRPr="00F61CE3">
        <w:rPr>
          <w:bCs/>
        </w:rPr>
        <w:t>Земельный участок частично расположен в границах зон</w:t>
      </w:r>
      <w:r w:rsidR="0084640C">
        <w:rPr>
          <w:bCs/>
        </w:rPr>
        <w:t>ы</w:t>
      </w:r>
      <w:r w:rsidRPr="00F61CE3">
        <w:rPr>
          <w:bCs/>
        </w:rPr>
        <w:t xml:space="preserve"> с особыми условиями использования территории</w:t>
      </w:r>
      <w:r w:rsidR="00F0536F">
        <w:rPr>
          <w:bCs/>
        </w:rPr>
        <w:t>:</w:t>
      </w:r>
    </w:p>
    <w:p w14:paraId="5B086D50" w14:textId="0AF15F32" w:rsidR="00CB54D9" w:rsidRDefault="00CB54D9" w:rsidP="0075185A">
      <w:pPr>
        <w:ind w:right="68" w:firstLine="709"/>
        <w:jc w:val="both"/>
        <w:rPr>
          <w:bCs/>
        </w:rPr>
      </w:pPr>
      <w:r w:rsidRPr="00CB54D9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 w:rsidR="00700F8D">
        <w:rPr>
          <w:bCs/>
        </w:rPr>
        <w:t>32</w:t>
      </w:r>
      <w:r w:rsidRPr="00CB54D9">
        <w:rPr>
          <w:bCs/>
        </w:rPr>
        <w:t xml:space="preserve">» кв.м. Охранная зона </w:t>
      </w:r>
      <w:r w:rsidR="00700F8D">
        <w:rPr>
          <w:bCs/>
        </w:rPr>
        <w:t>ВЛ 35 кВ Гатчинская-4 Реестровый номер: 47:23-6.137 (по данным ЕГРН)</w:t>
      </w:r>
      <w:r w:rsidRPr="00CB54D9">
        <w:rPr>
          <w:bCs/>
        </w:rPr>
        <w:t>;</w:t>
      </w:r>
    </w:p>
    <w:p w14:paraId="1EEBAC49" w14:textId="455DC5F2" w:rsidR="00700F8D" w:rsidRDefault="00700F8D" w:rsidP="0075185A">
      <w:pPr>
        <w:ind w:right="68" w:firstLine="709"/>
        <w:jc w:val="both"/>
        <w:rPr>
          <w:bCs/>
        </w:rPr>
      </w:pPr>
      <w:r w:rsidRPr="00700F8D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937</w:t>
      </w:r>
      <w:r w:rsidRPr="00700F8D">
        <w:rPr>
          <w:bCs/>
        </w:rPr>
        <w:t xml:space="preserve">» кв.м. Охранная зона </w:t>
      </w:r>
      <w:r>
        <w:rPr>
          <w:bCs/>
        </w:rPr>
        <w:t xml:space="preserve">электросетевого хозяйства – ВЛ-10 кВ Ф-36 от ПС-224 д. Вайя </w:t>
      </w:r>
      <w:r w:rsidRPr="00700F8D">
        <w:rPr>
          <w:bCs/>
        </w:rPr>
        <w:t>Реестровый номер: 47:</w:t>
      </w:r>
      <w:r>
        <w:rPr>
          <w:bCs/>
        </w:rPr>
        <w:t>00</w:t>
      </w:r>
      <w:r w:rsidRPr="00700F8D">
        <w:rPr>
          <w:bCs/>
        </w:rPr>
        <w:t>-6.</w:t>
      </w:r>
      <w:r>
        <w:rPr>
          <w:bCs/>
        </w:rPr>
        <w:t>296</w:t>
      </w:r>
      <w:r w:rsidRPr="00700F8D">
        <w:rPr>
          <w:bCs/>
        </w:rPr>
        <w:t xml:space="preserve"> (по данным ЕГРН);</w:t>
      </w:r>
    </w:p>
    <w:p w14:paraId="6A45655A" w14:textId="6926363D" w:rsidR="00700F8D" w:rsidRDefault="005E58C8" w:rsidP="0075185A">
      <w:pPr>
        <w:ind w:right="68" w:firstLine="709"/>
        <w:jc w:val="both"/>
        <w:rPr>
          <w:bCs/>
        </w:rPr>
      </w:pPr>
      <w:r w:rsidRPr="005E58C8">
        <w:rPr>
          <w:bCs/>
        </w:rPr>
        <w:t>площадь земельного участка, покрываемая зоной с особыми условиями использования территории, составляет «9</w:t>
      </w:r>
      <w:r>
        <w:rPr>
          <w:bCs/>
        </w:rPr>
        <w:t>46</w:t>
      </w:r>
      <w:r w:rsidRPr="005E58C8">
        <w:rPr>
          <w:bCs/>
        </w:rPr>
        <w:t xml:space="preserve">» кв.м. Охранная зона электросетевого хозяйства – </w:t>
      </w:r>
      <w:r>
        <w:rPr>
          <w:bCs/>
        </w:rPr>
        <w:t>К</w:t>
      </w:r>
      <w:r w:rsidRPr="005E58C8">
        <w:rPr>
          <w:bCs/>
        </w:rPr>
        <w:t>Л-10 кВ Ф-36</w:t>
      </w:r>
      <w:r>
        <w:rPr>
          <w:bCs/>
        </w:rPr>
        <w:t xml:space="preserve">, Ф-46 </w:t>
      </w:r>
      <w:r w:rsidRPr="005E58C8">
        <w:rPr>
          <w:bCs/>
        </w:rPr>
        <w:t>от ПС-224 Реестровый номер: 47:00-6.29</w:t>
      </w:r>
      <w:r>
        <w:rPr>
          <w:bCs/>
        </w:rPr>
        <w:t>8</w:t>
      </w:r>
      <w:r w:rsidRPr="005E58C8">
        <w:rPr>
          <w:bCs/>
        </w:rPr>
        <w:t xml:space="preserve"> (по данным ЕГРН);</w:t>
      </w:r>
    </w:p>
    <w:p w14:paraId="6CA72D52" w14:textId="7D0C8B6A" w:rsidR="00AB1325" w:rsidRDefault="00AB1325" w:rsidP="0075185A">
      <w:pPr>
        <w:ind w:right="68" w:firstLine="709"/>
        <w:jc w:val="both"/>
        <w:rPr>
          <w:bCs/>
        </w:rPr>
      </w:pPr>
      <w:r w:rsidRPr="00AB1325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88</w:t>
      </w:r>
      <w:r w:rsidRPr="00AB1325">
        <w:rPr>
          <w:bCs/>
        </w:rPr>
        <w:t>7» кв.м. Охранная зона электросетевого хозяйства – ВЛ-</w:t>
      </w:r>
      <w:r>
        <w:rPr>
          <w:bCs/>
        </w:rPr>
        <w:t>6</w:t>
      </w:r>
      <w:r w:rsidRPr="00AB1325">
        <w:rPr>
          <w:bCs/>
        </w:rPr>
        <w:t xml:space="preserve"> кВ Ф-</w:t>
      </w:r>
      <w:r>
        <w:rPr>
          <w:bCs/>
        </w:rPr>
        <w:t xml:space="preserve">1 </w:t>
      </w:r>
      <w:r w:rsidRPr="00AB1325">
        <w:rPr>
          <w:bCs/>
        </w:rPr>
        <w:t>ПС-</w:t>
      </w:r>
      <w:r>
        <w:rPr>
          <w:bCs/>
        </w:rPr>
        <w:t>Гатчина</w:t>
      </w:r>
      <w:r w:rsidRPr="00AB1325">
        <w:rPr>
          <w:bCs/>
        </w:rPr>
        <w:t xml:space="preserve"> Реестровый номер: 47:00-6.2</w:t>
      </w:r>
      <w:r>
        <w:rPr>
          <w:bCs/>
        </w:rPr>
        <w:t>62</w:t>
      </w:r>
      <w:r w:rsidRPr="00AB1325">
        <w:rPr>
          <w:bCs/>
        </w:rPr>
        <w:t xml:space="preserve"> (по данным ЕГРН);</w:t>
      </w:r>
    </w:p>
    <w:p w14:paraId="622F1185" w14:textId="02BB57B7" w:rsidR="00AB1325" w:rsidRDefault="00AB1325" w:rsidP="0075185A">
      <w:pPr>
        <w:ind w:right="68" w:firstLine="709"/>
        <w:jc w:val="both"/>
        <w:rPr>
          <w:bCs/>
        </w:rPr>
      </w:pPr>
      <w:r w:rsidRPr="00AB1325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 w:rsidR="004F4E00">
        <w:rPr>
          <w:bCs/>
        </w:rPr>
        <w:t>3897</w:t>
      </w:r>
      <w:r w:rsidRPr="00AB1325">
        <w:rPr>
          <w:bCs/>
        </w:rPr>
        <w:t>» кв.м. Охранная зона</w:t>
      </w:r>
      <w:r w:rsidR="004F4E00">
        <w:rPr>
          <w:bCs/>
        </w:rPr>
        <w:t xml:space="preserve"> высоковольтной ЛЭП</w:t>
      </w:r>
      <w:r w:rsidRPr="00AB1325">
        <w:rPr>
          <w:bCs/>
        </w:rPr>
        <w:t>;</w:t>
      </w:r>
    </w:p>
    <w:p w14:paraId="63A7E8CE" w14:textId="2CC29C1D" w:rsidR="004F4E00" w:rsidRDefault="004F4E00" w:rsidP="0075185A">
      <w:pPr>
        <w:ind w:right="68" w:firstLine="709"/>
        <w:jc w:val="both"/>
        <w:rPr>
          <w:bCs/>
        </w:rPr>
      </w:pPr>
      <w:r w:rsidRPr="004F4E00">
        <w:rPr>
          <w:bCs/>
        </w:rPr>
        <w:lastRenderedPageBreak/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168</w:t>
      </w:r>
      <w:r w:rsidRPr="004F4E00">
        <w:rPr>
          <w:bCs/>
        </w:rPr>
        <w:t xml:space="preserve">» кв.м. Охранная зона </w:t>
      </w:r>
      <w:r>
        <w:rPr>
          <w:bCs/>
        </w:rPr>
        <w:t xml:space="preserve">электрического </w:t>
      </w:r>
      <w:r w:rsidRPr="004F4E00">
        <w:rPr>
          <w:bCs/>
        </w:rPr>
        <w:t xml:space="preserve">кабеля </w:t>
      </w:r>
      <w:r>
        <w:rPr>
          <w:bCs/>
        </w:rPr>
        <w:t>высокого</w:t>
      </w:r>
      <w:r w:rsidRPr="004F4E00">
        <w:rPr>
          <w:bCs/>
        </w:rPr>
        <w:t xml:space="preserve"> напряжения</w:t>
      </w:r>
      <w:r>
        <w:rPr>
          <w:bCs/>
        </w:rPr>
        <w:t>.</w:t>
      </w:r>
    </w:p>
    <w:p w14:paraId="6743F93F" w14:textId="5BA2354D" w:rsidR="00700F8D" w:rsidRDefault="004F4E00" w:rsidP="004F4E00">
      <w:pPr>
        <w:ind w:right="68" w:firstLine="709"/>
        <w:jc w:val="both"/>
        <w:rPr>
          <w:bCs/>
        </w:rPr>
      </w:pPr>
      <w:r w:rsidRPr="004F4E00">
        <w:rPr>
          <w:bCs/>
        </w:rPr>
        <w:t>Земельный участок частично расположен в границах зоны с особыми условиями использования территории</w:t>
      </w:r>
      <w:r>
        <w:rPr>
          <w:bCs/>
        </w:rPr>
        <w:t xml:space="preserve">, </w:t>
      </w:r>
      <w:r w:rsidRPr="004F4E00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10106</w:t>
      </w:r>
      <w:r w:rsidRPr="004F4E00">
        <w:rPr>
          <w:bCs/>
        </w:rPr>
        <w:t>» кв.м.</w:t>
      </w:r>
      <w:r>
        <w:rPr>
          <w:bCs/>
        </w:rPr>
        <w:t xml:space="preserve"> Придорожная полоса федеральной автомобильной дороги Р-23 «Санкт-Петербург - Псков – Пустошка – Невель – граница с Республикой Белоруссия» в Гатчинском районе Ленинградской области </w:t>
      </w:r>
      <w:r w:rsidRPr="004F4E00">
        <w:rPr>
          <w:bCs/>
        </w:rPr>
        <w:t>Реестровый номер: 47:</w:t>
      </w:r>
      <w:r>
        <w:rPr>
          <w:bCs/>
        </w:rPr>
        <w:t>23</w:t>
      </w:r>
      <w:r w:rsidRPr="004F4E00">
        <w:rPr>
          <w:bCs/>
        </w:rPr>
        <w:t>-6.</w:t>
      </w:r>
      <w:r>
        <w:rPr>
          <w:bCs/>
        </w:rPr>
        <w:t xml:space="preserve">172 </w:t>
      </w:r>
      <w:r w:rsidRPr="004F4E00">
        <w:rPr>
          <w:bCs/>
        </w:rPr>
        <w:t>(по данным ЕГРН)</w:t>
      </w:r>
      <w:r>
        <w:rPr>
          <w:bCs/>
        </w:rPr>
        <w:t>.</w:t>
      </w:r>
    </w:p>
    <w:p w14:paraId="660CBC8F" w14:textId="77777777" w:rsidR="004F4E00" w:rsidRPr="004F4E00" w:rsidRDefault="004F4E00" w:rsidP="004F4E00">
      <w:pPr>
        <w:ind w:right="68" w:firstLine="709"/>
        <w:jc w:val="both"/>
        <w:rPr>
          <w:bCs/>
        </w:rPr>
      </w:pPr>
      <w:r w:rsidRPr="004F4E00">
        <w:rPr>
          <w:bCs/>
        </w:rPr>
        <w:t>Земельный участок полностью расположен в границах зоны с особыми условиями использования территории:</w:t>
      </w:r>
    </w:p>
    <w:p w14:paraId="01EBEEA7" w14:textId="77777777" w:rsidR="004F4E00" w:rsidRDefault="004F4E00" w:rsidP="004F4E00">
      <w:pPr>
        <w:ind w:right="68" w:firstLine="709"/>
        <w:jc w:val="both"/>
        <w:rPr>
          <w:bCs/>
        </w:rPr>
      </w:pPr>
      <w:r w:rsidRPr="004F4E00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22404</w:t>
      </w:r>
      <w:r w:rsidRPr="004F4E00">
        <w:rPr>
          <w:bCs/>
        </w:rPr>
        <w:t xml:space="preserve">» кв.м. – </w:t>
      </w:r>
      <w:r>
        <w:rPr>
          <w:bCs/>
        </w:rPr>
        <w:t xml:space="preserve">Иные ограничения (обременения) прав </w:t>
      </w:r>
      <w:r w:rsidRPr="004F4E00">
        <w:rPr>
          <w:bCs/>
        </w:rPr>
        <w:t>(по данным ЕГРН);</w:t>
      </w:r>
    </w:p>
    <w:p w14:paraId="0F925BE1" w14:textId="1F135C45" w:rsidR="004F4E00" w:rsidRPr="004F4E00" w:rsidRDefault="004F4E00" w:rsidP="004F4E00">
      <w:pPr>
        <w:ind w:right="68" w:firstLine="709"/>
        <w:jc w:val="both"/>
        <w:rPr>
          <w:bCs/>
        </w:rPr>
      </w:pPr>
      <w:r w:rsidRPr="004F4E00">
        <w:rPr>
          <w:bCs/>
        </w:rPr>
        <w:t>площадь земельного участка, покрываемая зоной с особыми условиями использования территории, составляет «22404» кв.м. – Иные ограничения (обременения) прав (по данным ЕГРН)</w:t>
      </w:r>
      <w:r>
        <w:rPr>
          <w:bCs/>
        </w:rPr>
        <w:t>.</w:t>
      </w:r>
    </w:p>
    <w:p w14:paraId="4C122401" w14:textId="0A1EAEE8" w:rsidR="00700F8D" w:rsidRDefault="004F4E00" w:rsidP="004F4E00">
      <w:pPr>
        <w:ind w:right="68" w:firstLine="709"/>
        <w:jc w:val="both"/>
        <w:rPr>
          <w:bCs/>
        </w:rPr>
      </w:pPr>
      <w:r w:rsidRPr="004F4E00">
        <w:rPr>
          <w:bCs/>
        </w:rPr>
        <w:t xml:space="preserve">Земельный участок </w:t>
      </w:r>
      <w:r>
        <w:rPr>
          <w:bCs/>
        </w:rPr>
        <w:t xml:space="preserve">частично </w:t>
      </w:r>
      <w:r w:rsidRPr="004F4E00">
        <w:rPr>
          <w:bCs/>
        </w:rPr>
        <w:t>расположен в границах зоны с особыми условиями использования территории</w:t>
      </w:r>
      <w:r>
        <w:rPr>
          <w:bCs/>
        </w:rPr>
        <w:t xml:space="preserve">, </w:t>
      </w:r>
      <w:r w:rsidRPr="004F4E00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17722</w:t>
      </w:r>
      <w:r w:rsidRPr="004F4E00">
        <w:rPr>
          <w:bCs/>
        </w:rPr>
        <w:t>» кв.м.</w:t>
      </w:r>
      <w:r>
        <w:rPr>
          <w:bCs/>
        </w:rPr>
        <w:t xml:space="preserve"> </w:t>
      </w:r>
      <w:r w:rsidRPr="004F4E00">
        <w:rPr>
          <w:bCs/>
        </w:rPr>
        <w:t>Иные ограничения (обременения) прав (по данным ЕГРН</w:t>
      </w:r>
      <w:r>
        <w:rPr>
          <w:bCs/>
        </w:rPr>
        <w:t>).</w:t>
      </w:r>
    </w:p>
    <w:p w14:paraId="561BD205" w14:textId="2E68C8A2" w:rsidR="00700F8D" w:rsidRDefault="004F4E00" w:rsidP="00E17B85">
      <w:pPr>
        <w:ind w:right="68" w:firstLine="709"/>
        <w:jc w:val="both"/>
        <w:rPr>
          <w:bCs/>
        </w:rPr>
      </w:pPr>
      <w:r w:rsidRPr="004F4E00">
        <w:rPr>
          <w:bCs/>
        </w:rPr>
        <w:t>Земельный участок полностью расположен в границах зоны с особыми условиями использования территории</w:t>
      </w:r>
      <w:r w:rsidR="00E17B85">
        <w:rPr>
          <w:bCs/>
        </w:rPr>
        <w:t xml:space="preserve">, </w:t>
      </w:r>
      <w:r w:rsidRPr="004F4E00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 w:rsidR="00E17B85">
        <w:rPr>
          <w:bCs/>
        </w:rPr>
        <w:t>578</w:t>
      </w:r>
      <w:r w:rsidRPr="004F4E00">
        <w:rPr>
          <w:bCs/>
        </w:rPr>
        <w:t>» кв.м.</w:t>
      </w:r>
      <w:r w:rsidR="00E17B85">
        <w:rPr>
          <w:bCs/>
        </w:rPr>
        <w:t xml:space="preserve"> Охранная зона кабеля связи.</w:t>
      </w:r>
    </w:p>
    <w:p w14:paraId="7E903D20" w14:textId="3FCC7634" w:rsidR="00E17B85" w:rsidRDefault="00E17B85" w:rsidP="00E17B85">
      <w:pPr>
        <w:ind w:right="68" w:firstLine="709"/>
        <w:jc w:val="both"/>
        <w:rPr>
          <w:bCs/>
        </w:rPr>
      </w:pPr>
      <w:r w:rsidRPr="00E17B85">
        <w:rPr>
          <w:bCs/>
        </w:rPr>
        <w:t>Земельный участок частично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 «17</w:t>
      </w:r>
      <w:r w:rsidR="00F724C6">
        <w:rPr>
          <w:bCs/>
        </w:rPr>
        <w:t>353</w:t>
      </w:r>
      <w:r w:rsidRPr="00E17B85">
        <w:rPr>
          <w:bCs/>
        </w:rPr>
        <w:t xml:space="preserve">» кв.м. </w:t>
      </w:r>
      <w:r w:rsidR="00F724C6">
        <w:rPr>
          <w:bCs/>
        </w:rPr>
        <w:t xml:space="preserve">Н-3 Санитарный разрыв от транспортных коммуникаций </w:t>
      </w:r>
      <w:r w:rsidR="00F724C6" w:rsidRPr="00F724C6">
        <w:rPr>
          <w:bCs/>
        </w:rPr>
        <w:t>(по данным ЕГРН).</w:t>
      </w:r>
    </w:p>
    <w:p w14:paraId="40D93820" w14:textId="55061C95" w:rsidR="00E17B85" w:rsidRDefault="00683710" w:rsidP="00E17B85">
      <w:pPr>
        <w:ind w:right="68" w:firstLine="709"/>
        <w:jc w:val="both"/>
        <w:rPr>
          <w:bCs/>
        </w:rPr>
      </w:pPr>
      <w:r w:rsidRPr="00683710">
        <w:rPr>
          <w:bCs/>
        </w:rPr>
        <w:t>Земельный участок частично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260</w:t>
      </w:r>
      <w:r w:rsidRPr="00683710">
        <w:rPr>
          <w:bCs/>
        </w:rPr>
        <w:t>» кв.м.</w:t>
      </w:r>
      <w:r>
        <w:rPr>
          <w:bCs/>
        </w:rPr>
        <w:t xml:space="preserve"> Зона санитарной охраны источников водоснабжения 2 пояса</w:t>
      </w:r>
      <w:r w:rsidRPr="00683710">
        <w:rPr>
          <w:bCs/>
        </w:rPr>
        <w:t>.</w:t>
      </w:r>
    </w:p>
    <w:p w14:paraId="20212D73" w14:textId="595B998B" w:rsidR="00E17B85" w:rsidRDefault="00683710" w:rsidP="00E17B85">
      <w:pPr>
        <w:ind w:right="68" w:firstLine="709"/>
        <w:jc w:val="both"/>
        <w:rPr>
          <w:bCs/>
        </w:rPr>
      </w:pPr>
      <w:r w:rsidRPr="00683710">
        <w:rPr>
          <w:bCs/>
        </w:rPr>
        <w:t>Земельный участок полностью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22404</w:t>
      </w:r>
      <w:r w:rsidRPr="00683710">
        <w:rPr>
          <w:bCs/>
        </w:rPr>
        <w:t>» кв.м.</w:t>
      </w:r>
      <w:r w:rsidRPr="00683710">
        <w:t xml:space="preserve"> </w:t>
      </w:r>
      <w:r w:rsidRPr="00683710">
        <w:rPr>
          <w:bCs/>
        </w:rPr>
        <w:t xml:space="preserve">Зона санитарной охраны источников водоснабжения </w:t>
      </w:r>
      <w:r>
        <w:rPr>
          <w:bCs/>
        </w:rPr>
        <w:t>3</w:t>
      </w:r>
      <w:r w:rsidRPr="00683710">
        <w:rPr>
          <w:bCs/>
        </w:rPr>
        <w:t xml:space="preserve"> пояса.</w:t>
      </w:r>
    </w:p>
    <w:p w14:paraId="31681AC7" w14:textId="543E1F4C" w:rsidR="00E17B85" w:rsidRDefault="006A7B24" w:rsidP="00E17B85">
      <w:pPr>
        <w:ind w:right="68" w:firstLine="709"/>
        <w:jc w:val="both"/>
        <w:rPr>
          <w:bCs/>
        </w:rPr>
      </w:pPr>
      <w:r w:rsidRPr="006A7B24">
        <w:rPr>
          <w:bCs/>
        </w:rPr>
        <w:t>Земельный участок частично расположен в границах зоны с особыми условиями использования территории</w:t>
      </w:r>
      <w:r>
        <w:rPr>
          <w:bCs/>
        </w:rPr>
        <w:t xml:space="preserve">, </w:t>
      </w:r>
      <w:r w:rsidRPr="006A7B24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11039</w:t>
      </w:r>
      <w:r w:rsidRPr="006A7B24">
        <w:rPr>
          <w:bCs/>
        </w:rPr>
        <w:t xml:space="preserve">» кв.м. </w:t>
      </w:r>
      <w:r>
        <w:rPr>
          <w:bCs/>
        </w:rPr>
        <w:t>Шестая под</w:t>
      </w:r>
      <w:r w:rsidRPr="006A7B24">
        <w:rPr>
          <w:bCs/>
        </w:rPr>
        <w:t>зона приаэродромной территория аэродрома совместного базирования «Пушкин»</w:t>
      </w:r>
      <w:r w:rsidR="00D91FE2">
        <w:rPr>
          <w:bCs/>
        </w:rPr>
        <w:t xml:space="preserve"> Реестровый номер: 47:00-6.307 (по данным ЕГРН)</w:t>
      </w:r>
      <w:r w:rsidRPr="006A7B24">
        <w:rPr>
          <w:bCs/>
        </w:rPr>
        <w:t>;</w:t>
      </w:r>
    </w:p>
    <w:p w14:paraId="70D4696E" w14:textId="77777777" w:rsidR="00F65B61" w:rsidRDefault="00F65B61" w:rsidP="0075185A">
      <w:pPr>
        <w:ind w:right="68" w:firstLine="709"/>
        <w:jc w:val="both"/>
        <w:rPr>
          <w:bCs/>
        </w:rPr>
      </w:pPr>
      <w:r w:rsidRPr="00F65B61">
        <w:rPr>
          <w:bCs/>
        </w:rPr>
        <w:t>Земельный участок полностью расположен в границах зоны с особыми условиями использования территории</w:t>
      </w:r>
      <w:r>
        <w:rPr>
          <w:bCs/>
        </w:rPr>
        <w:t>:</w:t>
      </w:r>
    </w:p>
    <w:p w14:paraId="4A82D51D" w14:textId="3B7209A4" w:rsidR="00700F8D" w:rsidRDefault="00F65B61" w:rsidP="0075185A">
      <w:pPr>
        <w:ind w:right="68" w:firstLine="709"/>
        <w:jc w:val="both"/>
        <w:rPr>
          <w:bCs/>
        </w:rPr>
      </w:pPr>
      <w:r w:rsidRPr="00F65B61">
        <w:rPr>
          <w:bCs/>
        </w:rPr>
        <w:t>площадь земельного участка, покрываемая зоной с особыми условиями использования территории, составляет «22404» кв.м. Приаэродромная территория</w:t>
      </w:r>
      <w:r>
        <w:rPr>
          <w:bCs/>
        </w:rPr>
        <w:t xml:space="preserve"> </w:t>
      </w:r>
      <w:r w:rsidRPr="00F65B61">
        <w:rPr>
          <w:bCs/>
        </w:rPr>
        <w:t>(по</w:t>
      </w:r>
      <w:r>
        <w:rPr>
          <w:bCs/>
        </w:rPr>
        <w:t> </w:t>
      </w:r>
      <w:r w:rsidRPr="00F65B61">
        <w:rPr>
          <w:bCs/>
        </w:rPr>
        <w:t>данным ЕГРН)</w:t>
      </w:r>
      <w:r>
        <w:rPr>
          <w:bCs/>
        </w:rPr>
        <w:t>;</w:t>
      </w:r>
    </w:p>
    <w:p w14:paraId="169C2C61" w14:textId="5CC12EE2" w:rsidR="00F65B61" w:rsidRDefault="00F65B61" w:rsidP="0075185A">
      <w:pPr>
        <w:ind w:right="68" w:firstLine="709"/>
        <w:jc w:val="both"/>
        <w:rPr>
          <w:bCs/>
        </w:rPr>
      </w:pPr>
      <w:r w:rsidRPr="00F65B61">
        <w:rPr>
          <w:bCs/>
        </w:rPr>
        <w:t>площадь земельного участка, покрываемая зоной с особыми условиями использования территории, составляет «22404» кв.м.</w:t>
      </w:r>
      <w:r>
        <w:rPr>
          <w:bCs/>
        </w:rPr>
        <w:t xml:space="preserve"> </w:t>
      </w:r>
      <w:r w:rsidRPr="00F65B61">
        <w:rPr>
          <w:bCs/>
        </w:rPr>
        <w:t>Приаэродромная территория аэродрома совместного базирования «Пушкин»</w:t>
      </w:r>
      <w:r>
        <w:rPr>
          <w:bCs/>
        </w:rPr>
        <w:t xml:space="preserve"> </w:t>
      </w:r>
      <w:r w:rsidRPr="00F65B61">
        <w:rPr>
          <w:bCs/>
        </w:rPr>
        <w:t>Реестровый номер: 47:00-6.30</w:t>
      </w:r>
      <w:r>
        <w:rPr>
          <w:bCs/>
        </w:rPr>
        <w:t>5</w:t>
      </w:r>
      <w:r w:rsidRPr="00F65B61">
        <w:rPr>
          <w:bCs/>
        </w:rPr>
        <w:t xml:space="preserve"> (по данным ЕГРН);</w:t>
      </w:r>
    </w:p>
    <w:p w14:paraId="3282DF5B" w14:textId="731832BB" w:rsidR="00F65B61" w:rsidRDefault="00F65B61" w:rsidP="0075185A">
      <w:pPr>
        <w:ind w:right="68" w:firstLine="709"/>
        <w:jc w:val="both"/>
        <w:rPr>
          <w:bCs/>
        </w:rPr>
      </w:pPr>
      <w:r w:rsidRPr="00F65B61">
        <w:rPr>
          <w:bCs/>
        </w:rPr>
        <w:t xml:space="preserve">площадь земельного участка, покрываемая зоной с особыми условиями использования территории, составляет «22404» кв.м. Третья подзона приаэродромной </w:t>
      </w:r>
      <w:r w:rsidRPr="00F65B61">
        <w:rPr>
          <w:bCs/>
        </w:rPr>
        <w:lastRenderedPageBreak/>
        <w:t>территория аэродрома совместного базирования «Пушкин»</w:t>
      </w:r>
      <w:r>
        <w:rPr>
          <w:bCs/>
        </w:rPr>
        <w:t xml:space="preserve"> </w:t>
      </w:r>
      <w:r w:rsidRPr="00F65B61">
        <w:rPr>
          <w:bCs/>
        </w:rPr>
        <w:t>Реестровый номер: 47:00-6.30</w:t>
      </w:r>
      <w:r>
        <w:rPr>
          <w:bCs/>
        </w:rPr>
        <w:t>6</w:t>
      </w:r>
      <w:r w:rsidRPr="00F65B61">
        <w:rPr>
          <w:bCs/>
        </w:rPr>
        <w:t xml:space="preserve"> (по данным ЕГРН);</w:t>
      </w:r>
    </w:p>
    <w:p w14:paraId="1BCDE0F2" w14:textId="38E0025E" w:rsidR="00590193" w:rsidRDefault="00F65B61" w:rsidP="00F65B61">
      <w:pPr>
        <w:ind w:right="68" w:firstLine="709"/>
        <w:jc w:val="both"/>
        <w:rPr>
          <w:bCs/>
        </w:rPr>
      </w:pPr>
      <w:r w:rsidRPr="00F65B61">
        <w:rPr>
          <w:bCs/>
        </w:rPr>
        <w:t xml:space="preserve">площадь земельного участка, покрываемая зоной с особыми условиями использования территории, составляет «22404» кв.м. </w:t>
      </w:r>
      <w:r>
        <w:rPr>
          <w:bCs/>
        </w:rPr>
        <w:t>Четвертая</w:t>
      </w:r>
      <w:r w:rsidRPr="00F65B61">
        <w:rPr>
          <w:bCs/>
        </w:rPr>
        <w:t xml:space="preserve"> подзона приаэродромной территория аэродрома совместного базирования «Пушкин» Реестровый номер: 47:00-6.</w:t>
      </w:r>
      <w:r>
        <w:rPr>
          <w:bCs/>
        </w:rPr>
        <w:t xml:space="preserve">294 </w:t>
      </w:r>
      <w:r w:rsidRPr="00F65B61">
        <w:rPr>
          <w:bCs/>
        </w:rPr>
        <w:t>(по данным ЕГРН)</w:t>
      </w:r>
      <w:r>
        <w:rPr>
          <w:bCs/>
        </w:rPr>
        <w:t>.</w:t>
      </w:r>
    </w:p>
    <w:p w14:paraId="7BC295B7" w14:textId="77777777" w:rsidR="00F65B61" w:rsidRDefault="00F65B61" w:rsidP="00F65B61">
      <w:pPr>
        <w:ind w:right="68" w:firstLine="709"/>
        <w:jc w:val="both"/>
        <w:rPr>
          <w:bCs/>
        </w:rPr>
      </w:pPr>
    </w:p>
    <w:p w14:paraId="36AC6153" w14:textId="19ACBEBD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1075EB" w:rsidRPr="001075EB">
        <w:rPr>
          <w:lang w:eastAsia="x-none"/>
        </w:rPr>
        <w:t>12 690 297 (двенадцать миллионов шестьсот девяносто тысяч двести девяносто семь) рубл</w:t>
      </w:r>
      <w:r w:rsidR="001075EB">
        <w:rPr>
          <w:lang w:eastAsia="x-none"/>
        </w:rPr>
        <w:t>ей</w:t>
      </w:r>
      <w:r w:rsidR="001075EB" w:rsidRPr="001075EB">
        <w:rPr>
          <w:lang w:eastAsia="x-none"/>
        </w:rPr>
        <w:t xml:space="preserve"> 72 копейк</w:t>
      </w:r>
      <w:r w:rsidR="001075EB">
        <w:rPr>
          <w:lang w:eastAsia="x-none"/>
        </w:rPr>
        <w:t>и</w:t>
      </w:r>
      <w:r w:rsidRPr="00824775">
        <w:rPr>
          <w:lang w:eastAsia="x-none"/>
        </w:rPr>
        <w:t xml:space="preserve">. </w:t>
      </w:r>
    </w:p>
    <w:p w14:paraId="0E1E802D" w14:textId="43BB56C4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D21F3C" w:rsidRPr="00D21F3C">
        <w:rPr>
          <w:lang w:eastAsia="x-none"/>
        </w:rPr>
        <w:t>2 538 059 (два миллиона пятьсот тридцать восемь тысяч пятьдесят девять) рублей 54 копе</w:t>
      </w:r>
      <w:r w:rsidR="00D21F3C">
        <w:rPr>
          <w:lang w:eastAsia="x-none"/>
        </w:rPr>
        <w:t>йки</w:t>
      </w:r>
      <w:r w:rsidR="001B3836" w:rsidRPr="001B3836">
        <w:rPr>
          <w:lang w:eastAsia="x-none"/>
        </w:rPr>
        <w:t>.</w:t>
      </w:r>
    </w:p>
    <w:p w14:paraId="4327FBB7" w14:textId="2E17613B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9327F4">
        <w:rPr>
          <w:lang w:eastAsia="x-none"/>
        </w:rPr>
        <w:t>380 708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9327F4" w:rsidRPr="009327F4">
        <w:rPr>
          <w:lang w:eastAsia="x-none"/>
        </w:rPr>
        <w:t>триста восемьдесят тысяч семьсот восемь</w:t>
      </w:r>
      <w:r w:rsidRPr="00824775">
        <w:rPr>
          <w:lang w:eastAsia="x-none"/>
        </w:rPr>
        <w:t>) рубл</w:t>
      </w:r>
      <w:r w:rsidR="009327F4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9327F4">
        <w:rPr>
          <w:lang w:eastAsia="x-none"/>
        </w:rPr>
        <w:t>93</w:t>
      </w:r>
      <w:r w:rsidRPr="00824775">
        <w:rPr>
          <w:lang w:eastAsia="x-none"/>
        </w:rPr>
        <w:t xml:space="preserve"> копе</w:t>
      </w:r>
      <w:r w:rsidR="009327F4">
        <w:rPr>
          <w:lang w:eastAsia="x-none"/>
        </w:rPr>
        <w:t>йки</w:t>
      </w:r>
      <w:r w:rsidRPr="00824775">
        <w:rPr>
          <w:lang w:eastAsia="x-none"/>
        </w:rPr>
        <w:t>.</w:t>
      </w:r>
    </w:p>
    <w:p w14:paraId="4F8D6FD6" w14:textId="4C8CFFD0" w:rsidR="00AB7C9B" w:rsidRPr="00F932DE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8D2D11">
        <w:rPr>
          <w:bCs/>
          <w:lang w:eastAsia="x-none"/>
        </w:rPr>
        <w:t>104</w:t>
      </w:r>
      <w:r w:rsidR="0055654F">
        <w:rPr>
          <w:bCs/>
          <w:lang w:eastAsia="x-none"/>
        </w:rPr>
        <w:t xml:space="preserve"> </w:t>
      </w:r>
      <w:r w:rsidRPr="00824775">
        <w:rPr>
          <w:bCs/>
          <w:lang w:eastAsia="x-none"/>
        </w:rPr>
        <w:t>месяц</w:t>
      </w:r>
      <w:r w:rsidR="008D2D11">
        <w:rPr>
          <w:bCs/>
          <w:lang w:eastAsia="x-none"/>
        </w:rPr>
        <w:t>а</w:t>
      </w:r>
      <w:r w:rsidRPr="00824775">
        <w:rPr>
          <w:bCs/>
          <w:lang w:eastAsia="x-none"/>
        </w:rPr>
        <w:t>.</w:t>
      </w: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77777777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имеется.  </w:t>
      </w:r>
    </w:p>
    <w:p w14:paraId="5E19E455" w14:textId="6F3BBD04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1A79C5" w:rsidRPr="001A79C5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42BAE377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1A79C5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020E350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1A79C5" w:rsidRPr="001A79C5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4DBEA5DB" w14:textId="77777777" w:rsidR="00C24864" w:rsidRDefault="00C24864" w:rsidP="00FD5399">
      <w:pPr>
        <w:ind w:right="68"/>
        <w:rPr>
          <w:b/>
          <w:bCs/>
          <w:sz w:val="22"/>
          <w:szCs w:val="22"/>
          <w:u w:val="single"/>
          <w:lang w:val="x-none" w:eastAsia="x-none"/>
        </w:rPr>
      </w:pPr>
    </w:p>
    <w:p w14:paraId="151EC117" w14:textId="7B141D8D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6970A063" w14:textId="77777777" w:rsidR="00641D70" w:rsidRDefault="00824775" w:rsidP="00641D70">
      <w:pPr>
        <w:ind w:firstLine="709"/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</w:p>
    <w:p w14:paraId="328DAAAA" w14:textId="13C451A7" w:rsidR="0024475D" w:rsidRPr="00431B3B" w:rsidRDefault="0024475D" w:rsidP="00641D70">
      <w:pPr>
        <w:ind w:firstLine="709"/>
        <w:jc w:val="both"/>
      </w:pPr>
      <w:r w:rsidRPr="00342C22">
        <w:t xml:space="preserve">Земельный участок </w:t>
      </w:r>
      <w:r w:rsidR="000F0507">
        <w:t>расположен в</w:t>
      </w:r>
      <w:r w:rsidRPr="00342C22">
        <w:t xml:space="preserve"> территориальной зоне – </w:t>
      </w:r>
      <w:r w:rsidR="00431B3B">
        <w:t xml:space="preserve">П-2 Зона производственных объектов и коммунально-складских объектов </w:t>
      </w:r>
      <w:r w:rsidR="00431B3B">
        <w:rPr>
          <w:lang w:val="en-US"/>
        </w:rPr>
        <w:t>V</w:t>
      </w:r>
      <w:r w:rsidR="00431B3B">
        <w:t xml:space="preserve"> класса опасности.</w:t>
      </w:r>
    </w:p>
    <w:p w14:paraId="3610EC7E" w14:textId="010EA444" w:rsidR="00EC1F43" w:rsidRDefault="00431B3B" w:rsidP="00641D70">
      <w:pPr>
        <w:ind w:firstLine="709"/>
        <w:jc w:val="both"/>
      </w:pPr>
      <w:r w:rsidRPr="00431B3B"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</w:t>
      </w:r>
      <w:r w:rsidR="00EC1F43">
        <w:t>.</w:t>
      </w:r>
    </w:p>
    <w:p w14:paraId="57B9F667" w14:textId="77777777" w:rsidR="00FB1FEC" w:rsidRDefault="00FB1FEC" w:rsidP="00431B3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6012"/>
        <w:gridCol w:w="1289"/>
        <w:gridCol w:w="1542"/>
      </w:tblGrid>
      <w:tr w:rsidR="00D01FFD" w:rsidRPr="001F4E65" w14:paraId="623B681A" w14:textId="77777777" w:rsidTr="009B44C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D9A8" w14:textId="77777777" w:rsidR="00D01FFD" w:rsidRPr="001F4E65" w:rsidRDefault="00D01FFD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E65">
              <w:rPr>
                <w:sz w:val="20"/>
                <w:szCs w:val="20"/>
              </w:rPr>
              <w:t>1.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919" w14:textId="77777777" w:rsidR="00D01FFD" w:rsidRPr="001F4E65" w:rsidRDefault="00D01FFD" w:rsidP="009B4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4E65">
              <w:rPr>
                <w:sz w:val="20"/>
                <w:szCs w:val="20"/>
              </w:rPr>
              <w:t>Класс опасности размещаемых промышленных объектов, производств и сооружений, складских зданий и сооружений</w:t>
            </w:r>
            <w:r w:rsidRPr="001F4E65">
              <w:rPr>
                <w:sz w:val="20"/>
                <w:szCs w:val="20"/>
              </w:rPr>
              <w:tab/>
            </w:r>
            <w:r w:rsidRPr="001F4E65">
              <w:rPr>
                <w:sz w:val="20"/>
                <w:szCs w:val="20"/>
              </w:rPr>
              <w:tab/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7078" w14:textId="77777777" w:rsidR="00D01FFD" w:rsidRDefault="00D01FFD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  <w:p w14:paraId="42C48402" w14:textId="77777777" w:rsidR="00D01FFD" w:rsidRPr="001F4E65" w:rsidRDefault="00D01FFD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2775" w14:textId="77777777" w:rsidR="00D01FFD" w:rsidRPr="001F4E65" w:rsidRDefault="00D01FFD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E65">
              <w:rPr>
                <w:sz w:val="20"/>
                <w:szCs w:val="20"/>
                <w:lang w:val="en-US"/>
              </w:rPr>
              <w:t>IV-V</w:t>
            </w:r>
            <w:r w:rsidRPr="001F4E65">
              <w:rPr>
                <w:sz w:val="20"/>
                <w:szCs w:val="20"/>
              </w:rPr>
              <w:t xml:space="preserve"> </w:t>
            </w:r>
          </w:p>
        </w:tc>
      </w:tr>
      <w:tr w:rsidR="00D01FFD" w:rsidRPr="001F4E65" w14:paraId="65928AF9" w14:textId="77777777" w:rsidTr="009B44C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9AEB" w14:textId="77777777" w:rsidR="00D01FFD" w:rsidRPr="001F4E65" w:rsidRDefault="00D01FFD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E65">
              <w:rPr>
                <w:sz w:val="20"/>
                <w:szCs w:val="20"/>
              </w:rPr>
              <w:t>2.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EB50" w14:textId="77777777" w:rsidR="00D01FFD" w:rsidRPr="001F4E65" w:rsidRDefault="00D01FFD" w:rsidP="009B4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  <w:r w:rsidRPr="00B31749">
              <w:rPr>
                <w:sz w:val="20"/>
                <w:szCs w:val="20"/>
              </w:rPr>
              <w:t>нимальные и (или) максимальные размеры земельных участков</w:t>
            </w:r>
            <w:r w:rsidRPr="00B31749">
              <w:rPr>
                <w:sz w:val="20"/>
                <w:szCs w:val="20"/>
              </w:rPr>
              <w:tab/>
            </w:r>
            <w:r w:rsidRPr="00B31749">
              <w:rPr>
                <w:sz w:val="20"/>
                <w:szCs w:val="20"/>
              </w:rPr>
              <w:tab/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098C" w14:textId="77777777" w:rsidR="00D01FFD" w:rsidRPr="001F4E65" w:rsidRDefault="00D01FFD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FD28" w14:textId="77777777" w:rsidR="00D01FFD" w:rsidRPr="001F4E65" w:rsidRDefault="00D01FFD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E65">
              <w:rPr>
                <w:sz w:val="20"/>
                <w:szCs w:val="20"/>
              </w:rPr>
              <w:t xml:space="preserve">Не подлежат установлению </w:t>
            </w:r>
          </w:p>
        </w:tc>
      </w:tr>
      <w:tr w:rsidR="00D01FFD" w:rsidRPr="001F4E65" w14:paraId="213BB075" w14:textId="77777777" w:rsidTr="009B44C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773" w14:textId="77777777" w:rsidR="00D01FFD" w:rsidRPr="001F4E65" w:rsidRDefault="00D01FFD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E65">
              <w:rPr>
                <w:sz w:val="20"/>
                <w:szCs w:val="20"/>
              </w:rPr>
              <w:t>3.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9F88" w14:textId="77777777" w:rsidR="00D01FFD" w:rsidRPr="009626FB" w:rsidRDefault="00D01FFD" w:rsidP="009B4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 xml:space="preserve">Максимальная высота зданий, </w:t>
            </w:r>
            <w:r>
              <w:rPr>
                <w:sz w:val="20"/>
                <w:szCs w:val="20"/>
              </w:rPr>
              <w:t xml:space="preserve">строений, </w:t>
            </w:r>
            <w:r w:rsidRPr="009626FB">
              <w:rPr>
                <w:sz w:val="20"/>
                <w:szCs w:val="20"/>
              </w:rPr>
              <w:t>сооружений*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0C8F" w14:textId="77777777" w:rsidR="00D01FFD" w:rsidRPr="009626FB" w:rsidRDefault="00D01FFD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8FDB" w14:textId="77777777" w:rsidR="00D01FFD" w:rsidRPr="009626FB" w:rsidRDefault="00D01FFD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подлежи</w:t>
            </w:r>
            <w:r w:rsidRPr="001F4E65">
              <w:rPr>
                <w:sz w:val="20"/>
                <w:szCs w:val="20"/>
              </w:rPr>
              <w:t>т установлению</w:t>
            </w:r>
          </w:p>
        </w:tc>
      </w:tr>
      <w:tr w:rsidR="00D01FFD" w:rsidRPr="001F4E65" w14:paraId="217C5DC3" w14:textId="77777777" w:rsidTr="009B44C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4190" w14:textId="77777777" w:rsidR="00D01FFD" w:rsidRPr="001F4E65" w:rsidRDefault="00D01FFD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E65">
              <w:rPr>
                <w:sz w:val="20"/>
                <w:szCs w:val="20"/>
              </w:rPr>
              <w:t>4.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89B" w14:textId="77777777" w:rsidR="00D01FFD" w:rsidRPr="001F4E65" w:rsidRDefault="00D01FFD" w:rsidP="009B4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4E65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8477" w14:textId="77777777" w:rsidR="00D01FFD" w:rsidRPr="001F4E65" w:rsidRDefault="00D01FFD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69FA" w14:textId="77777777" w:rsidR="00D01FFD" w:rsidRPr="001F4E65" w:rsidRDefault="00D01FFD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E65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D01FFD" w:rsidRPr="001F4E65" w14:paraId="30BB8D81" w14:textId="77777777" w:rsidTr="009B44C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AD3" w14:textId="77777777" w:rsidR="00D01FFD" w:rsidRPr="001F4E65" w:rsidRDefault="00D01FFD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E65">
              <w:rPr>
                <w:sz w:val="20"/>
                <w:szCs w:val="20"/>
              </w:rPr>
              <w:t>5.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C98" w14:textId="77777777" w:rsidR="00D01FFD" w:rsidRPr="001F4E65" w:rsidRDefault="00D01FFD" w:rsidP="009B4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30889">
              <w:rPr>
                <w:sz w:val="20"/>
                <w:szCs w:val="20"/>
              </w:rPr>
              <w:t>Максимальный процент застройки земельного участка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1D66" w14:textId="77777777" w:rsidR="00D01FFD" w:rsidRPr="009626FB" w:rsidRDefault="00D01FFD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A526" w14:textId="77777777" w:rsidR="00D01FFD" w:rsidRPr="009626FB" w:rsidRDefault="00D01FFD" w:rsidP="009B4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Не подлежит установлению</w:t>
            </w:r>
          </w:p>
        </w:tc>
      </w:tr>
    </w:tbl>
    <w:p w14:paraId="15CF8484" w14:textId="77777777" w:rsidR="00A204E4" w:rsidRDefault="00A204E4" w:rsidP="00A646F5">
      <w:pPr>
        <w:autoSpaceDE w:val="0"/>
        <w:autoSpaceDN w:val="0"/>
        <w:adjustRightInd w:val="0"/>
        <w:ind w:firstLine="708"/>
        <w:jc w:val="both"/>
      </w:pPr>
    </w:p>
    <w:p w14:paraId="6D998DA0" w14:textId="4A32B17A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1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2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3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4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</w:t>
      </w:r>
      <w:r w:rsidRPr="00A646F5">
        <w:rPr>
          <w:b/>
          <w:bCs/>
        </w:rPr>
        <w:lastRenderedPageBreak/>
        <w:t>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5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6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 xml:space="preserve">дня </w:t>
      </w:r>
      <w:r w:rsidR="00261322" w:rsidRPr="00261322">
        <w:lastRenderedPageBreak/>
        <w:t>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F91D07">
      <w:pPr>
        <w:autoSpaceDE w:val="0"/>
        <w:autoSpaceDN w:val="0"/>
        <w:adjustRightInd w:val="0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00BA8"/>
    <w:rsid w:val="00024761"/>
    <w:rsid w:val="000417D3"/>
    <w:rsid w:val="000638AC"/>
    <w:rsid w:val="00067A51"/>
    <w:rsid w:val="000730A5"/>
    <w:rsid w:val="00092121"/>
    <w:rsid w:val="000B25EE"/>
    <w:rsid w:val="000B6252"/>
    <w:rsid w:val="000E7BF4"/>
    <w:rsid w:val="000F0507"/>
    <w:rsid w:val="001075EB"/>
    <w:rsid w:val="00125405"/>
    <w:rsid w:val="00126BFE"/>
    <w:rsid w:val="0013300B"/>
    <w:rsid w:val="0015461B"/>
    <w:rsid w:val="001878F6"/>
    <w:rsid w:val="001931DB"/>
    <w:rsid w:val="0019704A"/>
    <w:rsid w:val="001A79C5"/>
    <w:rsid w:val="001B3836"/>
    <w:rsid w:val="001C004E"/>
    <w:rsid w:val="001C3587"/>
    <w:rsid w:val="00210E54"/>
    <w:rsid w:val="002227AD"/>
    <w:rsid w:val="00230AE2"/>
    <w:rsid w:val="0024475D"/>
    <w:rsid w:val="00261322"/>
    <w:rsid w:val="002743AF"/>
    <w:rsid w:val="00275A0C"/>
    <w:rsid w:val="002820A6"/>
    <w:rsid w:val="002843B4"/>
    <w:rsid w:val="00287BD2"/>
    <w:rsid w:val="002A0008"/>
    <w:rsid w:val="002A2BC5"/>
    <w:rsid w:val="002A3240"/>
    <w:rsid w:val="002A38BC"/>
    <w:rsid w:val="002A6F7C"/>
    <w:rsid w:val="002C1465"/>
    <w:rsid w:val="002C64BC"/>
    <w:rsid w:val="002D0101"/>
    <w:rsid w:val="002D65C0"/>
    <w:rsid w:val="002E1626"/>
    <w:rsid w:val="002E399D"/>
    <w:rsid w:val="002E3EE8"/>
    <w:rsid w:val="00306428"/>
    <w:rsid w:val="00306BFF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A59B0"/>
    <w:rsid w:val="003E42EA"/>
    <w:rsid w:val="0040226B"/>
    <w:rsid w:val="00413F58"/>
    <w:rsid w:val="00431B3B"/>
    <w:rsid w:val="0043417F"/>
    <w:rsid w:val="00447CD7"/>
    <w:rsid w:val="00460841"/>
    <w:rsid w:val="004668C3"/>
    <w:rsid w:val="00466E82"/>
    <w:rsid w:val="004753B8"/>
    <w:rsid w:val="00477813"/>
    <w:rsid w:val="004853B8"/>
    <w:rsid w:val="004A0F3F"/>
    <w:rsid w:val="004B5920"/>
    <w:rsid w:val="004B5E66"/>
    <w:rsid w:val="004E234A"/>
    <w:rsid w:val="004F4E00"/>
    <w:rsid w:val="00502827"/>
    <w:rsid w:val="00506E7D"/>
    <w:rsid w:val="00507395"/>
    <w:rsid w:val="00514A89"/>
    <w:rsid w:val="00543449"/>
    <w:rsid w:val="00547263"/>
    <w:rsid w:val="0055654F"/>
    <w:rsid w:val="00560DEC"/>
    <w:rsid w:val="00590193"/>
    <w:rsid w:val="00594BB3"/>
    <w:rsid w:val="005A05ED"/>
    <w:rsid w:val="005A0E62"/>
    <w:rsid w:val="005A357E"/>
    <w:rsid w:val="005B1D9B"/>
    <w:rsid w:val="005E58C8"/>
    <w:rsid w:val="005E7C93"/>
    <w:rsid w:val="00612E14"/>
    <w:rsid w:val="00641D70"/>
    <w:rsid w:val="00655C32"/>
    <w:rsid w:val="0067256C"/>
    <w:rsid w:val="00674440"/>
    <w:rsid w:val="00683710"/>
    <w:rsid w:val="00687C7E"/>
    <w:rsid w:val="006A3F36"/>
    <w:rsid w:val="006A7B24"/>
    <w:rsid w:val="006B3C15"/>
    <w:rsid w:val="006B43F5"/>
    <w:rsid w:val="006C060C"/>
    <w:rsid w:val="006F0AC6"/>
    <w:rsid w:val="00700F8D"/>
    <w:rsid w:val="00701435"/>
    <w:rsid w:val="00716C72"/>
    <w:rsid w:val="007456F2"/>
    <w:rsid w:val="007460B9"/>
    <w:rsid w:val="00747F07"/>
    <w:rsid w:val="0075185A"/>
    <w:rsid w:val="007577D2"/>
    <w:rsid w:val="007659BA"/>
    <w:rsid w:val="007853FD"/>
    <w:rsid w:val="00795032"/>
    <w:rsid w:val="007A106D"/>
    <w:rsid w:val="007B2822"/>
    <w:rsid w:val="007B3BE1"/>
    <w:rsid w:val="007F22E2"/>
    <w:rsid w:val="0082257F"/>
    <w:rsid w:val="00823FFA"/>
    <w:rsid w:val="00824775"/>
    <w:rsid w:val="00831E2C"/>
    <w:rsid w:val="008370A9"/>
    <w:rsid w:val="0084239E"/>
    <w:rsid w:val="0084640C"/>
    <w:rsid w:val="00870023"/>
    <w:rsid w:val="00871E4E"/>
    <w:rsid w:val="008A1DB3"/>
    <w:rsid w:val="008A240E"/>
    <w:rsid w:val="008A7519"/>
    <w:rsid w:val="008B718B"/>
    <w:rsid w:val="008D2D11"/>
    <w:rsid w:val="008E2143"/>
    <w:rsid w:val="008E6D51"/>
    <w:rsid w:val="008F0043"/>
    <w:rsid w:val="008F0B03"/>
    <w:rsid w:val="008F61E9"/>
    <w:rsid w:val="00903758"/>
    <w:rsid w:val="009327F4"/>
    <w:rsid w:val="00955E63"/>
    <w:rsid w:val="00956E7D"/>
    <w:rsid w:val="009807B5"/>
    <w:rsid w:val="00981A96"/>
    <w:rsid w:val="00983B73"/>
    <w:rsid w:val="009921B1"/>
    <w:rsid w:val="00997FCB"/>
    <w:rsid w:val="009B5E04"/>
    <w:rsid w:val="009D385E"/>
    <w:rsid w:val="009E3787"/>
    <w:rsid w:val="009F2706"/>
    <w:rsid w:val="00A01168"/>
    <w:rsid w:val="00A1799C"/>
    <w:rsid w:val="00A204E4"/>
    <w:rsid w:val="00A21964"/>
    <w:rsid w:val="00A646F5"/>
    <w:rsid w:val="00A64837"/>
    <w:rsid w:val="00A66B2D"/>
    <w:rsid w:val="00A94537"/>
    <w:rsid w:val="00AA0FFE"/>
    <w:rsid w:val="00AB1325"/>
    <w:rsid w:val="00AB7C9B"/>
    <w:rsid w:val="00AC2AA8"/>
    <w:rsid w:val="00AC2CDA"/>
    <w:rsid w:val="00AC33FE"/>
    <w:rsid w:val="00AE1974"/>
    <w:rsid w:val="00B00437"/>
    <w:rsid w:val="00B35B68"/>
    <w:rsid w:val="00B43810"/>
    <w:rsid w:val="00B522CE"/>
    <w:rsid w:val="00B7168E"/>
    <w:rsid w:val="00B84CDD"/>
    <w:rsid w:val="00BA759C"/>
    <w:rsid w:val="00BB614C"/>
    <w:rsid w:val="00BD6040"/>
    <w:rsid w:val="00BE6ABF"/>
    <w:rsid w:val="00C050DA"/>
    <w:rsid w:val="00C07429"/>
    <w:rsid w:val="00C07F50"/>
    <w:rsid w:val="00C24864"/>
    <w:rsid w:val="00C26543"/>
    <w:rsid w:val="00C27C1E"/>
    <w:rsid w:val="00C42DBD"/>
    <w:rsid w:val="00C44E9B"/>
    <w:rsid w:val="00C5208D"/>
    <w:rsid w:val="00C56334"/>
    <w:rsid w:val="00C6241B"/>
    <w:rsid w:val="00C63DDF"/>
    <w:rsid w:val="00C97345"/>
    <w:rsid w:val="00CA6D95"/>
    <w:rsid w:val="00CA7539"/>
    <w:rsid w:val="00CB54D9"/>
    <w:rsid w:val="00CB7890"/>
    <w:rsid w:val="00CD030F"/>
    <w:rsid w:val="00CD15A8"/>
    <w:rsid w:val="00CE73DE"/>
    <w:rsid w:val="00CF24C7"/>
    <w:rsid w:val="00D01FFD"/>
    <w:rsid w:val="00D21F3C"/>
    <w:rsid w:val="00D26908"/>
    <w:rsid w:val="00D45343"/>
    <w:rsid w:val="00D70798"/>
    <w:rsid w:val="00D744E7"/>
    <w:rsid w:val="00D8752E"/>
    <w:rsid w:val="00D91FE2"/>
    <w:rsid w:val="00DA35FA"/>
    <w:rsid w:val="00DB113C"/>
    <w:rsid w:val="00DC3A32"/>
    <w:rsid w:val="00DD6C31"/>
    <w:rsid w:val="00DE4232"/>
    <w:rsid w:val="00DF511D"/>
    <w:rsid w:val="00E063E8"/>
    <w:rsid w:val="00E17B85"/>
    <w:rsid w:val="00E22E3A"/>
    <w:rsid w:val="00E34E1B"/>
    <w:rsid w:val="00E35B55"/>
    <w:rsid w:val="00E41D6F"/>
    <w:rsid w:val="00E70D32"/>
    <w:rsid w:val="00E8479A"/>
    <w:rsid w:val="00EA1AA2"/>
    <w:rsid w:val="00EC1F43"/>
    <w:rsid w:val="00EC5791"/>
    <w:rsid w:val="00ED7728"/>
    <w:rsid w:val="00F0536F"/>
    <w:rsid w:val="00F05712"/>
    <w:rsid w:val="00F105BF"/>
    <w:rsid w:val="00F15F0B"/>
    <w:rsid w:val="00F246B7"/>
    <w:rsid w:val="00F26043"/>
    <w:rsid w:val="00F32C01"/>
    <w:rsid w:val="00F5079C"/>
    <w:rsid w:val="00F61CE3"/>
    <w:rsid w:val="00F65B61"/>
    <w:rsid w:val="00F674DC"/>
    <w:rsid w:val="00F71D2C"/>
    <w:rsid w:val="00F724C6"/>
    <w:rsid w:val="00F91D07"/>
    <w:rsid w:val="00F932DE"/>
    <w:rsid w:val="00FA1E88"/>
    <w:rsid w:val="00FB1FEC"/>
    <w:rsid w:val="00FC1C2C"/>
    <w:rsid w:val="00FD123C"/>
    <w:rsid w:val="00FD5399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4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C5BD200649183CD614B902EC352620BE34A9BC424QA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4477</Words>
  <Characters>25523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19</cp:revision>
  <cp:lastPrinted>2025-03-10T14:18:00Z</cp:lastPrinted>
  <dcterms:created xsi:type="dcterms:W3CDTF">2025-06-05T07:02:00Z</dcterms:created>
  <dcterms:modified xsi:type="dcterms:W3CDTF">2025-06-06T06:48:00Z</dcterms:modified>
</cp:coreProperties>
</file>