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4F6D09" w:rsidRPr="004F6D09">
        <w:rPr>
          <w:rFonts w:eastAsiaTheme="minorEastAsia"/>
          <w:caps/>
        </w:rPr>
        <w:t>государственная собственность на который не разграничена</w:t>
      </w:r>
      <w:r w:rsidRPr="004F6D09">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BE0E11" w:rsidRPr="00BE0E11">
        <w:rPr>
          <w:rFonts w:eastAsiaTheme="minorEastAsia"/>
          <w:caps/>
        </w:rPr>
        <w:t xml:space="preserve">Отдельностоящий щит 2м*3м по адресу: </w:t>
      </w:r>
      <w:r w:rsidR="006E791B" w:rsidRPr="00E75441">
        <w:rPr>
          <w:rFonts w:eastAsiaTheme="minorEastAsia"/>
          <w:caps/>
        </w:rPr>
        <w:t>А/д Р40 (Кемполово-Выра-Тосно-Шапки), 87 км, левая сторона</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4F6D09" w:rsidRPr="004F6D09">
        <w:rPr>
          <w:rFonts w:ascii="Times New Roman" w:hAnsi="Times New Roman" w:cs="Times New Roman"/>
          <w:sz w:val="24"/>
          <w:szCs w:val="24"/>
        </w:rPr>
        <w:t xml:space="preserve">государственная собственность на который не разграничена </w:t>
      </w:r>
      <w:bookmarkStart w:id="1" w:name="_GoBack"/>
      <w:bookmarkEnd w:id="1"/>
      <w:r w:rsidRPr="008C58C2">
        <w:rPr>
          <w:rFonts w:ascii="Times New Roman" w:hAnsi="Times New Roman" w:cs="Times New Roman"/>
          <w:sz w:val="24"/>
          <w:szCs w:val="24"/>
        </w:rPr>
        <w:t>(</w:t>
      </w:r>
      <w:r w:rsidR="00BE0E11" w:rsidRPr="00BE0E11">
        <w:rPr>
          <w:rFonts w:ascii="Times New Roman" w:hAnsi="Times New Roman" w:cs="Times New Roman"/>
          <w:sz w:val="24"/>
          <w:szCs w:val="24"/>
        </w:rPr>
        <w:t>Отдельностоящий щит 2м*3м по адресу:</w:t>
      </w:r>
      <w:r w:rsidR="00BE0E11">
        <w:rPr>
          <w:rFonts w:ascii="Times New Roman" w:hAnsi="Times New Roman" w:cs="Times New Roman"/>
          <w:sz w:val="24"/>
          <w:szCs w:val="24"/>
        </w:rPr>
        <w:t xml:space="preserve"> А/д Р40 (Кемполово-Выра-Тосно-Шапки), 87 км, левая сторона</w:t>
      </w:r>
      <w:r w:rsidRPr="008C58C2">
        <w:rPr>
          <w:rFonts w:ascii="Times New Roman" w:hAnsi="Times New Roman" w:cs="Times New Roman"/>
          <w:sz w:val="24"/>
          <w:szCs w:val="24"/>
        </w:rPr>
        <w:t xml:space="preserve">). </w:t>
      </w:r>
    </w:p>
    <w:p w:rsidR="00F8305C" w:rsidRPr="005531CC" w:rsidRDefault="00B8733F" w:rsidP="005531C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BE0E11">
        <w:rPr>
          <w:rFonts w:ascii="Times New Roman" w:eastAsia="Calibri" w:hAnsi="Times New Roman" w:cs="Times New Roman"/>
          <w:b/>
          <w:sz w:val="24"/>
          <w:szCs w:val="24"/>
        </w:rPr>
        <w:t>345 600,00</w:t>
      </w:r>
      <w:r w:rsidR="005531CC" w:rsidRPr="005531CC">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598"/>
        <w:gridCol w:w="1424"/>
        <w:gridCol w:w="1885"/>
        <w:gridCol w:w="2193"/>
        <w:gridCol w:w="2315"/>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BE0E11"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Рождественское сельское поселение</w:t>
            </w:r>
          </w:p>
        </w:tc>
        <w:tc>
          <w:tcPr>
            <w:tcW w:w="1424" w:type="dxa"/>
            <w:vAlign w:val="center"/>
          </w:tcPr>
          <w:p w:rsidR="00917B9B" w:rsidRPr="002170AD" w:rsidRDefault="00BE0E11"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 (лист 12)</w:t>
            </w:r>
          </w:p>
        </w:tc>
        <w:tc>
          <w:tcPr>
            <w:tcW w:w="1885" w:type="dxa"/>
            <w:vAlign w:val="center"/>
          </w:tcPr>
          <w:p w:rsidR="00917B9B" w:rsidRPr="002170AD" w:rsidRDefault="00BE0E11"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w:t>
            </w:r>
          </w:p>
        </w:tc>
        <w:tc>
          <w:tcPr>
            <w:tcW w:w="2300" w:type="dxa"/>
            <w:vAlign w:val="center"/>
          </w:tcPr>
          <w:p w:rsidR="00917B9B" w:rsidRPr="002170AD" w:rsidRDefault="008C7FE4" w:rsidP="005531CC">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sidR="00BE0E11">
              <w:rPr>
                <w:rFonts w:ascii="Times New Roman" w:hAnsi="Times New Roman" w:cs="Times New Roman"/>
                <w:color w:val="000000" w:themeColor="text1"/>
                <w:sz w:val="20"/>
                <w:szCs w:val="24"/>
              </w:rPr>
              <w:t>2м х 3</w:t>
            </w:r>
            <w:r w:rsidRPr="008C7FE4">
              <w:rPr>
                <w:rFonts w:ascii="Times New Roman" w:hAnsi="Times New Roman" w:cs="Times New Roman"/>
                <w:color w:val="000000" w:themeColor="text1"/>
                <w:sz w:val="20"/>
                <w:szCs w:val="24"/>
              </w:rPr>
              <w:t>м</w:t>
            </w:r>
          </w:p>
        </w:tc>
        <w:tc>
          <w:tcPr>
            <w:tcW w:w="2454" w:type="dxa"/>
            <w:vAlign w:val="center"/>
          </w:tcPr>
          <w:p w:rsidR="00917B9B" w:rsidRPr="002170AD" w:rsidRDefault="00BE0E11" w:rsidP="002170AD">
            <w:pPr>
              <w:pStyle w:val="a6"/>
              <w:tabs>
                <w:tab w:val="left" w:pos="1134"/>
              </w:tabs>
              <w:ind w:left="0"/>
              <w:jc w:val="center"/>
              <w:rPr>
                <w:rFonts w:ascii="Times New Roman" w:hAnsi="Times New Roman" w:cs="Times New Roman"/>
                <w:color w:val="000000" w:themeColor="text1"/>
                <w:sz w:val="20"/>
                <w:szCs w:val="24"/>
              </w:rPr>
            </w:pPr>
            <w:r w:rsidRPr="00BE0E11">
              <w:rPr>
                <w:rFonts w:ascii="Times New Roman" w:hAnsi="Times New Roman" w:cs="Times New Roman"/>
                <w:color w:val="000000" w:themeColor="text1"/>
                <w:sz w:val="20"/>
                <w:szCs w:val="24"/>
              </w:rPr>
              <w:t>А/д Р40 (Кемполово-Выра-Тосно-Шапки), 87 км, левая сторона</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w:t>
      </w:r>
      <w:r w:rsidRPr="00C75376">
        <w:rPr>
          <w:rFonts w:ascii="Times New Roman" w:hAnsi="Times New Roman" w:cs="Times New Roman"/>
          <w:sz w:val="24"/>
          <w:szCs w:val="24"/>
        </w:rPr>
        <w:lastRenderedPageBreak/>
        <w:t xml:space="preserve">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640"/>
        <w:gridCol w:w="5185"/>
      </w:tblGrid>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75376" w:rsidRPr="00C75376" w:rsidTr="00371DEB">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1689" w:type="dxa"/>
          </w:tcPr>
          <w:p w:rsidR="00E629E0" w:rsidRDefault="008C7FE4"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sidR="00BE0E11">
              <w:rPr>
                <w:rFonts w:ascii="Times New Roman" w:hAnsi="Times New Roman" w:cs="Times New Roman"/>
                <w:color w:val="000000" w:themeColor="text1"/>
                <w:sz w:val="20"/>
                <w:szCs w:val="24"/>
              </w:rPr>
              <w:t>2м х 3</w:t>
            </w:r>
            <w:r w:rsidRPr="008C7FE4">
              <w:rPr>
                <w:rFonts w:ascii="Times New Roman" w:hAnsi="Times New Roman" w:cs="Times New Roman"/>
                <w:color w:val="000000" w:themeColor="text1"/>
                <w:sz w:val="20"/>
                <w:szCs w:val="24"/>
              </w:rPr>
              <w:t>м</w:t>
            </w:r>
          </w:p>
          <w:p w:rsidR="005531CC" w:rsidRDefault="006E791B" w:rsidP="005531CC">
            <w:pPr>
              <w:jc w:val="center"/>
              <w:rPr>
                <w:rFonts w:ascii="Times New Roman" w:hAnsi="Times New Roman" w:cs="Times New Roman"/>
                <w:color w:val="000000" w:themeColor="text1"/>
                <w:sz w:val="20"/>
                <w:szCs w:val="24"/>
              </w:rPr>
            </w:pPr>
            <w:r w:rsidRPr="005D52B6">
              <w:rPr>
                <w:rFonts w:ascii="Times New Roman" w:hAnsi="Times New Roman" w:cs="Times New Roman"/>
                <w:noProof/>
              </w:rPr>
              <w:drawing>
                <wp:inline distT="0" distB="0" distL="0" distR="0" wp14:anchorId="36F41160" wp14:editId="4C4B625F">
                  <wp:extent cx="1498773" cy="2486025"/>
                  <wp:effectExtent l="0" t="0" r="0" b="0"/>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1544995" cy="2562694"/>
                          </a:xfrm>
                          <a:prstGeom prst="rect">
                            <a:avLst/>
                          </a:prstGeom>
                          <a:noFill/>
                          <a:ln>
                            <a:noFill/>
                          </a:ln>
                          <a:extLst>
                            <a:ext uri="{53640926-AAD7-44D8-BBD7-CCE9431645EC}">
                              <a14:shadowObscured xmlns:a14="http://schemas.microsoft.com/office/drawing/2010/main"/>
                            </a:ext>
                          </a:extLst>
                        </pic:spPr>
                      </pic:pic>
                    </a:graphicData>
                  </a:graphic>
                </wp:inline>
              </w:drawing>
            </w:r>
          </w:p>
          <w:p w:rsidR="005531CC" w:rsidRDefault="005531CC" w:rsidP="005531CC">
            <w:pPr>
              <w:jc w:val="center"/>
              <w:rPr>
                <w:rFonts w:ascii="Times New Roman" w:hAnsi="Times New Roman" w:cs="Times New Roman"/>
                <w:b/>
                <w:sz w:val="24"/>
                <w:szCs w:val="24"/>
                <w:highlight w:val="yellow"/>
              </w:rPr>
            </w:pPr>
          </w:p>
          <w:p w:rsidR="005531CC" w:rsidRPr="00C86776" w:rsidRDefault="006E791B" w:rsidP="005531CC">
            <w:pPr>
              <w:jc w:val="center"/>
              <w:rPr>
                <w:rFonts w:ascii="Times New Roman" w:hAnsi="Times New Roman" w:cs="Times New Roman"/>
                <w:b/>
                <w:sz w:val="24"/>
                <w:szCs w:val="24"/>
                <w:highlight w:val="yellow"/>
              </w:rPr>
            </w:pPr>
            <w:r>
              <w:object w:dxaOrig="5055"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pt;height:130.9pt" o:ole="">
                  <v:imagedata r:id="rId12" o:title=""/>
                </v:shape>
                <o:OLEObject Type="Embed" ProgID="PBrush" ShapeID="_x0000_i1025" DrawAspect="Content" ObjectID="_1657962043" r:id="rId13"/>
              </w:object>
            </w:r>
          </w:p>
        </w:tc>
        <w:tc>
          <w:tcPr>
            <w:tcW w:w="8136"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w:t>
            </w:r>
            <w:r w:rsidR="00BE0E11">
              <w:rPr>
                <w:rFonts w:ascii="Times New Roman" w:hAnsi="Times New Roman" w:cs="Times New Roman"/>
                <w:sz w:val="24"/>
                <w:szCs w:val="24"/>
              </w:rPr>
              <w:t xml:space="preserve"> информационного поля не более 2</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Ширина</w:t>
            </w:r>
            <w:r w:rsidR="00BE0E11">
              <w:rPr>
                <w:rFonts w:ascii="Times New Roman" w:hAnsi="Times New Roman" w:cs="Times New Roman"/>
                <w:sz w:val="24"/>
                <w:szCs w:val="24"/>
              </w:rPr>
              <w:t xml:space="preserve"> информационного поля не более 3</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Общая площадь информационных полей должна быть не более </w:t>
            </w:r>
            <w:r w:rsidR="00BE0E11">
              <w:rPr>
                <w:rFonts w:ascii="Times New Roman" w:hAnsi="Times New Roman" w:cs="Times New Roman"/>
                <w:sz w:val="24"/>
                <w:szCs w:val="24"/>
              </w:rPr>
              <w:t>12</w:t>
            </w:r>
            <w:r w:rsidRPr="005531CC">
              <w:rPr>
                <w:rFonts w:ascii="Times New Roman" w:hAnsi="Times New Roman" w:cs="Times New Roman"/>
                <w:sz w:val="24"/>
                <w:szCs w:val="24"/>
              </w:rPr>
              <w:t xml:space="preserve">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5531CC">
            <w:pPr>
              <w:ind w:firstLine="638"/>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BE0E11" w:rsidP="00BE0E11">
            <w:pPr>
              <w:jc w:val="center"/>
              <w:rPr>
                <w:rFonts w:ascii="Times New Roman" w:hAnsi="Times New Roman" w:cs="Times New Roman"/>
                <w:b/>
              </w:rPr>
            </w:pPr>
            <w:r>
              <w:rPr>
                <w:rFonts w:ascii="Times New Roman" w:hAnsi="Times New Roman" w:cs="Times New Roman"/>
                <w:color w:val="000000" w:themeColor="text1"/>
                <w:sz w:val="20"/>
                <w:szCs w:val="24"/>
              </w:rPr>
              <w:t>Отдельностоящий щит 2</w:t>
            </w:r>
            <w:r w:rsidR="00C77DD3" w:rsidRPr="008C7FE4">
              <w:rPr>
                <w:rFonts w:ascii="Times New Roman" w:hAnsi="Times New Roman" w:cs="Times New Roman"/>
                <w:color w:val="000000" w:themeColor="text1"/>
                <w:sz w:val="20"/>
                <w:szCs w:val="24"/>
              </w:rPr>
              <w:t>м</w:t>
            </w:r>
            <w:r w:rsidR="00931FD6">
              <w:rPr>
                <w:rFonts w:ascii="Times New Roman" w:hAnsi="Times New Roman" w:cs="Times New Roman"/>
                <w:color w:val="000000" w:themeColor="text1"/>
                <w:sz w:val="20"/>
                <w:szCs w:val="24"/>
              </w:rPr>
              <w:t xml:space="preserve"> х </w:t>
            </w:r>
            <w:r>
              <w:rPr>
                <w:rFonts w:ascii="Times New Roman" w:hAnsi="Times New Roman" w:cs="Times New Roman"/>
                <w:color w:val="000000" w:themeColor="text1"/>
                <w:sz w:val="20"/>
                <w:szCs w:val="24"/>
              </w:rPr>
              <w:t>3</w:t>
            </w:r>
            <w:r w:rsidR="00C77DD3" w:rsidRPr="008C7FE4">
              <w:rPr>
                <w:rFonts w:ascii="Times New Roman" w:hAnsi="Times New Roman" w:cs="Times New Roman"/>
                <w:color w:val="000000" w:themeColor="text1"/>
                <w:sz w:val="20"/>
                <w:szCs w:val="24"/>
              </w:rPr>
              <w:t>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D902B5" w:rsidRPr="005D5F91">
              <w:rPr>
                <w:rFonts w:ascii="Times New Roman" w:eastAsia="Calibri" w:hAnsi="Times New Roman" w:cs="Times New Roman"/>
                <w:sz w:val="20"/>
                <w:szCs w:val="20"/>
              </w:rPr>
              <w:t>40,00</w:t>
            </w:r>
          </w:p>
        </w:tc>
        <w:tc>
          <w:tcPr>
            <w:tcW w:w="1701" w:type="dxa"/>
            <w:shd w:val="clear" w:color="auto" w:fill="auto"/>
            <w:vAlign w:val="center"/>
          </w:tcPr>
          <w:p w:rsidR="007C42EC" w:rsidRPr="005D5F91" w:rsidRDefault="00BE0E11"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745" w:type="dxa"/>
            <w:shd w:val="clear" w:color="auto" w:fill="auto"/>
            <w:vAlign w:val="center"/>
          </w:tcPr>
          <w:p w:rsidR="007C42EC" w:rsidRPr="005D5F91" w:rsidRDefault="00BE0E11"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2 880,00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BE0E11" w:rsidP="00335099">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345 600,00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BE0E11"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345 600,00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4F6D09">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4F6D09">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6D09"/>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E791B"/>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0E11"/>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35D3-6639-4E3B-A0EA-733F9041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12</cp:revision>
  <cp:lastPrinted>2020-08-03T09:14:00Z</cp:lastPrinted>
  <dcterms:created xsi:type="dcterms:W3CDTF">2020-04-02T11:40:00Z</dcterms:created>
  <dcterms:modified xsi:type="dcterms:W3CDTF">2020-08-03T09:14:00Z</dcterms:modified>
</cp:coreProperties>
</file>