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28"/>
        <w:gridCol w:w="594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184DCD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184DCD">
              <w:rPr>
                <w:sz w:val="24"/>
                <w:szCs w:val="24"/>
              </w:rPr>
              <w:t>19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184DCD">
              <w:rPr>
                <w:sz w:val="24"/>
                <w:szCs w:val="24"/>
              </w:rPr>
              <w:t>августа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D85944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9508E0">
        <w:rPr>
          <w:sz w:val="24"/>
          <w:szCs w:val="24"/>
        </w:rPr>
        <w:t>2406</w:t>
      </w:r>
      <w:r w:rsidR="00AA0E38" w:rsidRPr="007C194A">
        <w:rPr>
          <w:sz w:val="24"/>
          <w:szCs w:val="24"/>
        </w:rPr>
        <w:t xml:space="preserve"> от </w:t>
      </w:r>
      <w:r w:rsidR="00184DCD">
        <w:rPr>
          <w:sz w:val="24"/>
          <w:szCs w:val="24"/>
        </w:rPr>
        <w:t>14</w:t>
      </w:r>
      <w:r w:rsidR="00AA0E38" w:rsidRPr="007C194A">
        <w:rPr>
          <w:sz w:val="24"/>
          <w:szCs w:val="24"/>
        </w:rPr>
        <w:t>.0</w:t>
      </w:r>
      <w:r w:rsidR="00184DCD">
        <w:rPr>
          <w:sz w:val="24"/>
          <w:szCs w:val="24"/>
        </w:rPr>
        <w:t>8</w:t>
      </w:r>
      <w:r w:rsidR="00AA0E38" w:rsidRPr="007C194A">
        <w:rPr>
          <w:sz w:val="24"/>
          <w:szCs w:val="24"/>
        </w:rPr>
        <w:t>.20</w:t>
      </w:r>
      <w:r w:rsidR="006B7884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</w:t>
      </w:r>
      <w:r w:rsidR="00184DCD">
        <w:rPr>
          <w:sz w:val="24"/>
          <w:szCs w:val="24"/>
        </w:rPr>
        <w:t xml:space="preserve">государственная собственность на который не разграничена </w:t>
      </w:r>
      <w:r w:rsidR="006B7884" w:rsidRPr="006B7884">
        <w:rPr>
          <w:sz w:val="24"/>
          <w:szCs w:val="24"/>
        </w:rPr>
        <w:t>(</w:t>
      </w:r>
      <w:r w:rsidR="009508E0">
        <w:rPr>
          <w:sz w:val="24"/>
          <w:szCs w:val="24"/>
        </w:rPr>
        <w:t>Щиты 3*6м, ЛОТ №2</w:t>
      </w:r>
      <w:r w:rsidR="00184DCD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184DCD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на земельном участке, </w:t>
      </w:r>
      <w:r w:rsidR="00184DCD" w:rsidRPr="00184DCD">
        <w:rPr>
          <w:rFonts w:ascii="Times New Roman" w:hAnsi="Times New Roman"/>
          <w:sz w:val="24"/>
          <w:szCs w:val="24"/>
        </w:rPr>
        <w:t>государственная собственность на который не</w:t>
      </w:r>
      <w:r w:rsidR="009508E0">
        <w:rPr>
          <w:rFonts w:ascii="Times New Roman" w:hAnsi="Times New Roman"/>
          <w:sz w:val="24"/>
          <w:szCs w:val="24"/>
        </w:rPr>
        <w:t xml:space="preserve"> разграничена (Щиты 3*6м, ЛОТ №2</w:t>
      </w:r>
      <w:r w:rsidR="00184DCD" w:rsidRPr="00184DCD">
        <w:rPr>
          <w:rFonts w:ascii="Times New Roman" w:hAnsi="Times New Roman"/>
          <w:sz w:val="24"/>
          <w:szCs w:val="24"/>
        </w:rPr>
        <w:t>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9508E0">
        <w:rPr>
          <w:rFonts w:eastAsia="Calibri"/>
          <w:b/>
          <w:sz w:val="24"/>
          <w:szCs w:val="24"/>
        </w:rPr>
        <w:t>6 220 800</w:t>
      </w:r>
      <w:r w:rsidR="00184DCD">
        <w:rPr>
          <w:rFonts w:eastAsia="Calibri"/>
          <w:b/>
          <w:sz w:val="24"/>
          <w:szCs w:val="24"/>
        </w:rPr>
        <w:t>,00</w:t>
      </w:r>
      <w:r w:rsidR="00C01EE7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184DCD">
        <w:rPr>
          <w:sz w:val="24"/>
          <w:szCs w:val="24"/>
        </w:rPr>
        <w:t>22</w:t>
      </w:r>
      <w:r w:rsidRPr="00B640C1">
        <w:rPr>
          <w:sz w:val="24"/>
          <w:szCs w:val="24"/>
        </w:rPr>
        <w:t xml:space="preserve">» </w:t>
      </w:r>
      <w:r w:rsidR="00184DCD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9508E0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184DCD">
        <w:rPr>
          <w:sz w:val="24"/>
          <w:szCs w:val="24"/>
        </w:rPr>
        <w:t>22</w:t>
      </w:r>
      <w:r w:rsidR="00417A88" w:rsidRPr="00B640C1">
        <w:rPr>
          <w:sz w:val="24"/>
          <w:szCs w:val="24"/>
        </w:rPr>
        <w:t xml:space="preserve">» </w:t>
      </w:r>
      <w:r w:rsidR="00184DCD">
        <w:rPr>
          <w:sz w:val="24"/>
          <w:szCs w:val="24"/>
        </w:rPr>
        <w:t>сентября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9508E0">
        <w:rPr>
          <w:sz w:val="24"/>
          <w:szCs w:val="24"/>
        </w:rPr>
        <w:t>15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Pr="00184DCD" w:rsidRDefault="007C194A" w:rsidP="00184DCD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на земельном участке, </w:t>
      </w:r>
      <w:r w:rsidR="00184DCD" w:rsidRPr="00184DCD">
        <w:rPr>
          <w:sz w:val="24"/>
          <w:szCs w:val="24"/>
        </w:rPr>
        <w:t>государственная собственность на который не</w:t>
      </w:r>
      <w:r w:rsidR="009508E0">
        <w:rPr>
          <w:sz w:val="24"/>
          <w:szCs w:val="24"/>
        </w:rPr>
        <w:t xml:space="preserve"> разграничена (Щиты 3*6м, ЛОТ №2</w:t>
      </w:r>
      <w:bookmarkStart w:id="1" w:name="_GoBack"/>
      <w:bookmarkEnd w:id="1"/>
      <w:r w:rsidR="00184DCD" w:rsidRPr="00184DCD">
        <w:rPr>
          <w:sz w:val="24"/>
          <w:szCs w:val="24"/>
        </w:rPr>
        <w:t>)</w:t>
      </w:r>
      <w:r w:rsidR="00184DCD"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08E0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FB74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A678FA-5944-44F1-987B-FB5623C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6</cp:revision>
  <cp:lastPrinted>2020-08-18T08:54:00Z</cp:lastPrinted>
  <dcterms:created xsi:type="dcterms:W3CDTF">2018-02-20T09:38:00Z</dcterms:created>
  <dcterms:modified xsi:type="dcterms:W3CDTF">2020-08-18T08:58:00Z</dcterms:modified>
</cp:coreProperties>
</file>