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702623">
        <w:rPr>
          <w:rFonts w:eastAsiaTheme="minorEastAsia"/>
          <w:caps/>
        </w:rPr>
        <w:t>который находится</w:t>
      </w:r>
      <w:r w:rsidR="00673701" w:rsidRPr="00673701">
        <w:rPr>
          <w:rFonts w:eastAsiaTheme="minorEastAsia"/>
          <w:caps/>
        </w:rPr>
        <w:t xml:space="preserve"> </w:t>
      </w:r>
      <w:r w:rsidR="00F06F65">
        <w:rPr>
          <w:rFonts w:eastAsiaTheme="minorEastAsia"/>
          <w:caps/>
        </w:rPr>
        <w:t xml:space="preserve">в муниципальной собственности </w:t>
      </w:r>
      <w:r w:rsidRPr="005D2592">
        <w:rPr>
          <w:rFonts w:eastAsiaTheme="minorEastAsia"/>
          <w:caps/>
        </w:rPr>
        <w:t>гатчинск</w:t>
      </w:r>
      <w:bookmarkStart w:id="0" w:name="_GoBack"/>
      <w:bookmarkEnd w:id="0"/>
      <w:r w:rsidRPr="005D2592">
        <w:rPr>
          <w:rFonts w:eastAsiaTheme="minorEastAsia"/>
          <w:caps/>
        </w:rPr>
        <w:t>ого муниципального района ленинградской области.</w:t>
      </w:r>
    </w:p>
    <w:p w:rsidR="00677369" w:rsidRPr="00D460D2" w:rsidRDefault="00677369" w:rsidP="00677369">
      <w:pPr>
        <w:pStyle w:val="af4"/>
        <w:rPr>
          <w:rFonts w:eastAsiaTheme="minorEastAsia"/>
          <w:caps/>
        </w:rPr>
      </w:pPr>
      <w:r w:rsidRPr="005D2592">
        <w:rPr>
          <w:rFonts w:eastAsiaTheme="minorEastAsia"/>
          <w:caps/>
        </w:rPr>
        <w:t>(</w:t>
      </w:r>
      <w:r w:rsidR="00EB6018">
        <w:rPr>
          <w:rFonts w:eastAsiaTheme="minorEastAsia"/>
          <w:caps/>
        </w:rPr>
        <w:t xml:space="preserve">Отдельностоящий Щит 1,6м*2,3м по адресу: пос. Вырица, </w:t>
      </w:r>
      <w:r w:rsidR="00EB6018" w:rsidRPr="00846456">
        <w:rPr>
          <w:rFonts w:eastAsiaTheme="minorEastAsia"/>
          <w:caps/>
        </w:rPr>
        <w:t>Сив</w:t>
      </w:r>
      <w:r w:rsidR="00846456" w:rsidRPr="00846456">
        <w:rPr>
          <w:rFonts w:eastAsiaTheme="minorEastAsia"/>
          <w:caps/>
        </w:rPr>
        <w:t>е</w:t>
      </w:r>
      <w:r w:rsidR="00EB6018" w:rsidRPr="00846456">
        <w:rPr>
          <w:rFonts w:eastAsiaTheme="minorEastAsia"/>
          <w:caps/>
        </w:rPr>
        <w:t>рское шоссе / ул. Ушаковская</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E3AB2" w:rsidRPr="00C75376" w:rsidTr="00F42F29">
        <w:tc>
          <w:tcPr>
            <w:tcW w:w="863" w:type="dxa"/>
            <w:vAlign w:val="center"/>
          </w:tcPr>
          <w:p w:rsidR="005E3AB2" w:rsidRPr="003D794E" w:rsidRDefault="005E3AB2" w:rsidP="00F42F29">
            <w:pPr>
              <w:pStyle w:val="ac"/>
              <w:tabs>
                <w:tab w:val="left" w:pos="1134"/>
              </w:tabs>
              <w:ind w:left="0"/>
              <w:jc w:val="center"/>
              <w:rPr>
                <w:sz w:val="20"/>
              </w:rPr>
            </w:pPr>
            <w:r w:rsidRPr="003D794E">
              <w:rPr>
                <w:sz w:val="20"/>
              </w:rPr>
              <w:t>1</w:t>
            </w:r>
          </w:p>
        </w:tc>
        <w:tc>
          <w:tcPr>
            <w:tcW w:w="1529" w:type="dxa"/>
            <w:vAlign w:val="center"/>
          </w:tcPr>
          <w:p w:rsidR="005E3AB2" w:rsidRPr="003D794E" w:rsidRDefault="003D794E" w:rsidP="00F42F29">
            <w:pPr>
              <w:pStyle w:val="ac"/>
              <w:tabs>
                <w:tab w:val="left" w:pos="1134"/>
              </w:tabs>
              <w:ind w:left="0"/>
              <w:jc w:val="center"/>
              <w:rPr>
                <w:sz w:val="20"/>
              </w:rPr>
            </w:pPr>
            <w:r w:rsidRPr="003D794E">
              <w:rPr>
                <w:color w:val="000000" w:themeColor="text1"/>
                <w:sz w:val="20"/>
              </w:rPr>
              <w:t>Вырицкое городское поселение</w:t>
            </w:r>
          </w:p>
        </w:tc>
        <w:tc>
          <w:tcPr>
            <w:tcW w:w="1424" w:type="dxa"/>
            <w:vAlign w:val="center"/>
          </w:tcPr>
          <w:p w:rsidR="005E3AB2" w:rsidRPr="003D794E" w:rsidRDefault="003D794E" w:rsidP="00F42F29">
            <w:pPr>
              <w:pStyle w:val="ac"/>
              <w:tabs>
                <w:tab w:val="left" w:pos="1134"/>
              </w:tabs>
              <w:ind w:left="0"/>
              <w:jc w:val="center"/>
              <w:rPr>
                <w:color w:val="000000" w:themeColor="text1"/>
                <w:sz w:val="20"/>
              </w:rPr>
            </w:pPr>
            <w:r w:rsidRPr="003D794E">
              <w:rPr>
                <w:color w:val="000000" w:themeColor="text1"/>
                <w:sz w:val="20"/>
              </w:rPr>
              <w:t>26</w:t>
            </w:r>
          </w:p>
        </w:tc>
        <w:tc>
          <w:tcPr>
            <w:tcW w:w="1885" w:type="dxa"/>
            <w:vAlign w:val="center"/>
          </w:tcPr>
          <w:p w:rsidR="005E3AB2" w:rsidRPr="003D794E" w:rsidRDefault="003D794E" w:rsidP="00F42F29">
            <w:pPr>
              <w:pStyle w:val="ac"/>
              <w:tabs>
                <w:tab w:val="left" w:pos="1134"/>
              </w:tabs>
              <w:ind w:left="0"/>
              <w:jc w:val="center"/>
              <w:rPr>
                <w:sz w:val="20"/>
              </w:rPr>
            </w:pPr>
            <w:r w:rsidRPr="003D794E">
              <w:rPr>
                <w:sz w:val="20"/>
              </w:rPr>
              <w:t>7,36</w:t>
            </w:r>
          </w:p>
        </w:tc>
        <w:tc>
          <w:tcPr>
            <w:tcW w:w="2232" w:type="dxa"/>
            <w:vAlign w:val="center"/>
          </w:tcPr>
          <w:p w:rsidR="005E3AB2" w:rsidRPr="003D794E" w:rsidRDefault="003D794E" w:rsidP="00F42F29">
            <w:pPr>
              <w:pStyle w:val="ac"/>
              <w:tabs>
                <w:tab w:val="left" w:pos="1134"/>
              </w:tabs>
              <w:ind w:left="0"/>
              <w:jc w:val="center"/>
              <w:rPr>
                <w:color w:val="000000" w:themeColor="text1"/>
                <w:sz w:val="20"/>
              </w:rPr>
            </w:pPr>
            <w:r w:rsidRPr="003D794E">
              <w:rPr>
                <w:color w:val="000000" w:themeColor="text1"/>
                <w:sz w:val="20"/>
              </w:rPr>
              <w:t>Отдельностоящий щит 1,6мх2,3м</w:t>
            </w:r>
          </w:p>
        </w:tc>
        <w:tc>
          <w:tcPr>
            <w:tcW w:w="2552" w:type="dxa"/>
            <w:vAlign w:val="center"/>
          </w:tcPr>
          <w:p w:rsidR="005E3AB2" w:rsidRPr="003D794E" w:rsidRDefault="003D794E" w:rsidP="00F42F29">
            <w:pPr>
              <w:pStyle w:val="ac"/>
              <w:tabs>
                <w:tab w:val="left" w:pos="1134"/>
              </w:tabs>
              <w:ind w:left="0"/>
              <w:jc w:val="center"/>
              <w:rPr>
                <w:color w:val="000000" w:themeColor="text1"/>
                <w:sz w:val="20"/>
              </w:rPr>
            </w:pPr>
            <w:r w:rsidRPr="003D794E">
              <w:rPr>
                <w:color w:val="000000" w:themeColor="text1"/>
                <w:sz w:val="20"/>
              </w:rPr>
              <w:t>Сиверское шоссе/ул.Ушаковская</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527671">
      <w:rPr>
        <w:noProof/>
      </w:rPr>
      <w:t>1</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527671">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527671">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65A5"/>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style>
  <w:style w:type="character" w:customStyle="1" w:styleId="ad">
    <w:name w:val="Абзац списка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82E4-FB6E-4F0D-A30D-6E472D79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2514</Words>
  <Characters>14331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8</cp:revision>
  <cp:lastPrinted>2019-07-05T08:54:00Z</cp:lastPrinted>
  <dcterms:created xsi:type="dcterms:W3CDTF">2020-04-02T11:49:00Z</dcterms:created>
  <dcterms:modified xsi:type="dcterms:W3CDTF">2020-06-09T12:13:00Z</dcterms:modified>
</cp:coreProperties>
</file>