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493A57" w:rsidRPr="00A310D4" w:rsidRDefault="00493A57" w:rsidP="00493A57">
      <w:pPr>
        <w:ind w:right="48"/>
        <w:jc w:val="right"/>
      </w:pPr>
      <w:r w:rsidRPr="00A310D4">
        <w:t xml:space="preserve">от </w:t>
      </w:r>
      <w:r>
        <w:t xml:space="preserve">10.08.2020 </w:t>
      </w:r>
      <w:r w:rsidRPr="00A310D4">
        <w:t>№</w:t>
      </w:r>
      <w:r>
        <w:t xml:space="preserve"> 23</w:t>
      </w:r>
      <w:r>
        <w:t>70</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B80E62" w:rsidRPr="00B80E62">
        <w:rPr>
          <w:rFonts w:eastAsiaTheme="minorEastAsia"/>
          <w:b/>
          <w:caps/>
        </w:rPr>
        <w:t>государственная собственность на который не разграничена</w:t>
      </w:r>
      <w:r w:rsidRPr="00B80E62">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E75441" w:rsidRPr="00E75441">
        <w:rPr>
          <w:rFonts w:eastAsiaTheme="minorEastAsia"/>
          <w:b/>
          <w:caps/>
        </w:rPr>
        <w:t>Отдельностоящий щит 2м*3м по адресу: А/д Р40 (Кемполово-Выра-Тосно-Шапки), 87 км, левая сторона</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r w:rsidR="008730C5" w:rsidRPr="00256105">
        <w:rPr>
          <w:color w:val="000000"/>
        </w:rPr>
        <w:t>на участие,</w:t>
      </w:r>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w:t>
      </w:r>
      <w:r w:rsidR="008730C5" w:rsidRPr="00256105">
        <w:rPr>
          <w:color w:val="000000"/>
        </w:rPr>
        <w:t>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008730C5" w:rsidRPr="006C230A">
        <w:rPr>
          <w:szCs w:val="26"/>
        </w:rPr>
        <w:t>в тех</w:t>
      </w:r>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r w:rsidR="008730C5" w:rsidRPr="00A310D4">
        <w:t>надлежащим образом,</w:t>
      </w:r>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8730C5" w:rsidRDefault="001D180F" w:rsidP="00CA4BF8">
      <w:pPr>
        <w:tabs>
          <w:tab w:val="left" w:pos="1418"/>
        </w:tabs>
        <w:autoSpaceDE w:val="0"/>
        <w:autoSpaceDN w:val="0"/>
        <w:adjustRightInd w:val="0"/>
        <w:ind w:firstLine="709"/>
        <w:jc w:val="both"/>
      </w:pPr>
      <w:r w:rsidRPr="008730C5">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r w:rsidR="008730C5" w:rsidRPr="00A310D4">
        <w:t>надлежащим образом,</w:t>
      </w:r>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r w:rsidR="008730C5" w:rsidRPr="00A310D4">
        <w:t>на участие,</w:t>
      </w:r>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r w:rsidR="008730C5" w:rsidRPr="00A310D4">
        <w:t>победителю</w:t>
      </w:r>
      <w:r w:rsidR="008730C5">
        <w:t xml:space="preserve"> </w:t>
      </w:r>
      <w:r w:rsidR="008730C5" w:rsidRPr="00A310D4">
        <w:t>конкурса,</w:t>
      </w:r>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r w:rsidR="008730C5" w:rsidRPr="00A310D4">
        <w:t>на участие,</w:t>
      </w:r>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w:t>
      </w:r>
      <w:r w:rsidR="008730C5" w:rsidRPr="00A310D4">
        <w:t>на участие,</w:t>
      </w:r>
      <w:r w:rsidR="00A07E44" w:rsidRPr="00A310D4">
        <w:t xml:space="preserve">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r w:rsidR="008730C5" w:rsidRPr="00A310D4">
        <w:t>на участие,</w:t>
      </w:r>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r w:rsidR="008730C5" w:rsidRPr="00A310D4">
        <w:t>на участие,</w:t>
      </w:r>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r w:rsidR="00B71F52" w:rsidRPr="00A310D4">
        <w:t>победителем конкурса,</w:t>
      </w:r>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r w:rsidR="00B71F52" w:rsidRPr="00A310D4">
        <w:t>на участие,</w:t>
      </w:r>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r w:rsidR="00B71F52" w:rsidRPr="00A310D4">
        <w:t>на участие,</w:t>
      </w:r>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 xml:space="preserve">такое требование было установлено, участник конкурса, заявке </w:t>
      </w:r>
      <w:r w:rsidR="00B71F52" w:rsidRPr="00A310D4">
        <w:t>на участие,</w:t>
      </w:r>
      <w:r w:rsidR="00F3186D" w:rsidRPr="00A310D4">
        <w:t xml:space="preserve">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r w:rsidR="00B71F52" w:rsidRPr="00A310D4">
        <w:t>на участие,</w:t>
      </w:r>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r w:rsidR="00B71F52" w:rsidRPr="00A310D4">
        <w:t>на участие,</w:t>
      </w:r>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r w:rsidR="00B71F52" w:rsidRPr="00A310D4">
        <w:rPr>
          <w:rFonts w:ascii="Times New Roman" w:hAnsi="Times New Roman" w:cs="Times New Roman"/>
          <w:sz w:val="24"/>
          <w:szCs w:val="24"/>
        </w:rPr>
        <w:t>на участие,</w:t>
      </w:r>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r w:rsidR="00B71F52" w:rsidRPr="00A310D4">
        <w:rPr>
          <w:rFonts w:ascii="Times New Roman" w:hAnsi="Times New Roman" w:cs="Times New Roman"/>
          <w:sz w:val="24"/>
          <w:szCs w:val="24"/>
        </w:rPr>
        <w:t>на участие,</w:t>
      </w:r>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w:t>
      </w:r>
      <w:r w:rsidR="00B71F52" w:rsidRPr="00A310D4">
        <w:rPr>
          <w:rFonts w:ascii="Times New Roman" w:hAnsi="Times New Roman" w:cs="Times New Roman"/>
          <w:sz w:val="24"/>
          <w:szCs w:val="24"/>
        </w:rPr>
        <w:t>задаток,</w:t>
      </w:r>
      <w:r w:rsidR="00C30417" w:rsidRPr="00A310D4">
        <w:rPr>
          <w:rFonts w:ascii="Times New Roman" w:hAnsi="Times New Roman" w:cs="Times New Roman"/>
          <w:sz w:val="24"/>
          <w:szCs w:val="24"/>
        </w:rPr>
        <w:t xml:space="preserve"> внесенный </w:t>
      </w:r>
      <w:r w:rsidR="00B71F52" w:rsidRPr="00A310D4">
        <w:rPr>
          <w:rFonts w:ascii="Times New Roman" w:hAnsi="Times New Roman" w:cs="Times New Roman"/>
          <w:sz w:val="24"/>
          <w:szCs w:val="24"/>
        </w:rPr>
        <w:t>ими,</w:t>
      </w:r>
      <w:r w:rsidR="00C30417" w:rsidRPr="00A310D4">
        <w:rPr>
          <w:rFonts w:ascii="Times New Roman" w:hAnsi="Times New Roman" w:cs="Times New Roman"/>
          <w:sz w:val="24"/>
          <w:szCs w:val="24"/>
        </w:rPr>
        <w:t xml:space="preserve">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r w:rsidR="00B71F52" w:rsidRPr="00A310D4">
        <w:t>на участие,</w:t>
      </w:r>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r w:rsidR="00B71F52" w:rsidRPr="00A310D4">
        <w:t>на участие,</w:t>
      </w:r>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B80E62">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3A57"/>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730C5"/>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71F52"/>
    <w:rsid w:val="00B80E62"/>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441"/>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089A"/>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0474-25C6-4DA1-B168-D383FD38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2</Pages>
  <Words>12434</Words>
  <Characters>70874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16</cp:revision>
  <cp:lastPrinted>2020-08-03T09:10:00Z</cp:lastPrinted>
  <dcterms:created xsi:type="dcterms:W3CDTF">2020-03-30T08:39:00Z</dcterms:created>
  <dcterms:modified xsi:type="dcterms:W3CDTF">2020-08-13T11:25:00Z</dcterms:modified>
</cp:coreProperties>
</file>