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от</w:t>
      </w:r>
      <w:r w:rsidR="0096450C">
        <w:t xml:space="preserve"> 24.05.2023</w:t>
      </w:r>
      <w:r w:rsidR="00624702">
        <w:t xml:space="preserve"> </w:t>
      </w:r>
      <w:r w:rsidRPr="00A310D4">
        <w:t>№</w:t>
      </w:r>
      <w:r w:rsidR="0096450C">
        <w:t>1926</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583A13">
      <w:pPr>
        <w:jc w:val="center"/>
        <w:rPr>
          <w:rFonts w:eastAsiaTheme="minorEastAsia"/>
          <w:b/>
          <w:caps/>
        </w:rPr>
      </w:pPr>
      <w:r w:rsidRPr="005D2592">
        <w:rPr>
          <w:rFonts w:eastAsiaTheme="minorEastAsia"/>
          <w:b/>
          <w:caps/>
        </w:rPr>
        <w:t>ДОКУМЕНТАЦИЯ</w:t>
      </w:r>
      <w:r w:rsidR="00583A13">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9F3BF6">
        <w:rPr>
          <w:rFonts w:eastAsiaTheme="minorEastAsia"/>
          <w:b/>
          <w:caps/>
        </w:rPr>
        <w:t>,</w:t>
      </w:r>
      <w:r w:rsidR="009F3BF6" w:rsidRPr="009F3BF6">
        <w:rPr>
          <w:rFonts w:eastAsiaTheme="minorEastAsia"/>
          <w:b/>
          <w:caps/>
        </w:rPr>
        <w:t xml:space="preserve"> ГОСУДАРСТВЕННАЯ СОБСТВЕННОСТЬ НА КОТОРЫЙ НЕ РАЗГРАНИЧЕНА</w:t>
      </w:r>
    </w:p>
    <w:p w:rsidR="001E786B" w:rsidRPr="008111E0" w:rsidRDefault="009F0D93" w:rsidP="00484EB7">
      <w:pPr>
        <w:pStyle w:val="afd"/>
        <w:rPr>
          <w:rFonts w:eastAsiaTheme="minorEastAsia"/>
          <w:b/>
          <w:caps/>
        </w:rPr>
      </w:pPr>
      <w:r w:rsidRPr="00795EC4">
        <w:rPr>
          <w:rFonts w:eastAsiaTheme="minorEastAsia"/>
          <w:b/>
          <w:caps/>
        </w:rPr>
        <w:t>(</w:t>
      </w:r>
      <w:r w:rsidR="00AE7E24" w:rsidRPr="00AE7E24">
        <w:rPr>
          <w:rFonts w:eastAsiaTheme="minorEastAsia"/>
          <w:b/>
          <w:caps/>
        </w:rPr>
        <w:t>щит (билборд) размером 3,0 м х 6,0 м по адресу</w:t>
      </w:r>
      <w:r w:rsidR="005D43B1">
        <w:rPr>
          <w:rFonts w:eastAsiaTheme="minorEastAsia"/>
          <w:b/>
          <w:caps/>
        </w:rPr>
        <w:t>:</w:t>
      </w:r>
      <w:r w:rsidR="005D43B1" w:rsidRPr="005D43B1">
        <w:t xml:space="preserve"> </w:t>
      </w:r>
      <w:r w:rsidR="00484EB7" w:rsidRPr="00484EB7">
        <w:rPr>
          <w:rFonts w:eastAsiaTheme="minorEastAsia"/>
          <w:b/>
          <w:caps/>
        </w:rPr>
        <w:t>Гатчинский</w:t>
      </w:r>
      <w:bookmarkStart w:id="0" w:name="_GoBack"/>
      <w:bookmarkEnd w:id="0"/>
      <w:r w:rsidR="00484EB7" w:rsidRPr="00484EB7">
        <w:rPr>
          <w:rFonts w:eastAsiaTheme="minorEastAsia"/>
          <w:b/>
          <w:caps/>
        </w:rPr>
        <w:t xml:space="preserve"> район, городской посёлок Вырица, Сиверское шоссе, д. 164а</w:t>
      </w:r>
      <w:r w:rsidR="00AE7E24">
        <w:rPr>
          <w:rFonts w:eastAsiaTheme="minorEastAsia"/>
          <w:b/>
          <w:caps/>
        </w:rPr>
        <w:t>)</w:t>
      </w: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624702">
      <w:pPr>
        <w:spacing w:before="240" w:after="240"/>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5D07A6">
          <w:footerReference w:type="default" r:id="rId8"/>
          <w:pgSz w:w="11906" w:h="16838"/>
          <w:pgMar w:top="567" w:right="1134" w:bottom="1134" w:left="1134"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w:t>
      </w:r>
      <w:r w:rsidRPr="00A310D4">
        <w:lastRenderedPageBreak/>
        <w:t xml:space="preserve">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lastRenderedPageBreak/>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 xml:space="preserve">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proofErr w:type="gramStart"/>
      <w:r w:rsidR="0048287F" w:rsidRPr="00256105">
        <w:rPr>
          <w:color w:val="000000"/>
        </w:rPr>
        <w:t>на участие</w:t>
      </w:r>
      <w:proofErr w:type="gramEnd"/>
      <w:r w:rsidR="0048287F" w:rsidRPr="00256105">
        <w:rPr>
          <w:color w:val="000000"/>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lastRenderedPageBreak/>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lastRenderedPageBreak/>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w:t>
      </w:r>
      <w:r w:rsidR="006A423C" w:rsidRPr="00A310D4">
        <w:lastRenderedPageBreak/>
        <w:t>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proofErr w:type="gramStart"/>
      <w:r w:rsidRPr="006C230A">
        <w:rPr>
          <w:szCs w:val="26"/>
        </w:rPr>
        <w:t>в  тех</w:t>
      </w:r>
      <w:proofErr w:type="gramEnd"/>
      <w:r w:rsidRPr="006C230A">
        <w:rPr>
          <w:szCs w:val="26"/>
        </w:rPr>
        <w:t xml:space="preserve">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lastRenderedPageBreak/>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 xml:space="preserve">в оригиналах или засвидетельствованных в нотариальном порядке или заверенных банком копиях в </w:t>
      </w:r>
      <w:r w:rsidR="00CA4BF8" w:rsidRPr="00A310D4">
        <w:lastRenderedPageBreak/>
        <w:t>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lastRenderedPageBreak/>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lastRenderedPageBreak/>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lastRenderedPageBreak/>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lastRenderedPageBreak/>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lastRenderedPageBreak/>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9F3BF6">
        <w:t>;</w:t>
      </w:r>
    </w:p>
    <w:p w:rsidR="009F3BF6" w:rsidRDefault="009F3BF6" w:rsidP="00550DC9">
      <w:pPr>
        <w:tabs>
          <w:tab w:val="left" w:pos="851"/>
        </w:tabs>
        <w:autoSpaceDE w:val="0"/>
        <w:autoSpaceDN w:val="0"/>
        <w:adjustRightInd w:val="0"/>
        <w:ind w:firstLine="709"/>
        <w:jc w:val="both"/>
      </w:pPr>
      <w:r>
        <w:t>3)</w:t>
      </w:r>
      <w:r w:rsidRPr="009F3BF6">
        <w:t xml:space="preserve"> Проект рекламной конструкции</w:t>
      </w:r>
      <w:r>
        <w:t>;</w:t>
      </w:r>
    </w:p>
    <w:p w:rsidR="009F3BF6" w:rsidRPr="002340F0" w:rsidRDefault="009F3BF6" w:rsidP="00550DC9">
      <w:pPr>
        <w:tabs>
          <w:tab w:val="left" w:pos="851"/>
        </w:tabs>
        <w:autoSpaceDE w:val="0"/>
        <w:autoSpaceDN w:val="0"/>
        <w:adjustRightInd w:val="0"/>
        <w:ind w:firstLine="709"/>
        <w:jc w:val="both"/>
      </w:pPr>
      <w:r>
        <w:t xml:space="preserve">4) </w:t>
      </w:r>
      <w:r w:rsidRPr="009F3BF6">
        <w:t>Квалификация участника конкурса</w:t>
      </w:r>
      <w:r>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xml:space="preserve">,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w:t>
      </w:r>
      <w:r w:rsidR="002518B5" w:rsidRPr="00A310D4">
        <w:lastRenderedPageBreak/>
        <w:t>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 xml:space="preserve">оценки и сопоставления заявок </w:t>
      </w:r>
      <w:r w:rsidR="006B44D5" w:rsidRPr="00A310D4">
        <w:lastRenderedPageBreak/>
        <w:t>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 xml:space="preserve">направляет </w:t>
      </w:r>
      <w:proofErr w:type="gramStart"/>
      <w:r w:rsidR="00CA4BF8" w:rsidRPr="00A310D4">
        <w:t>победителю</w:t>
      </w:r>
      <w:r w:rsidR="00DF6BD8">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w:t>
      </w:r>
      <w:r w:rsidRPr="00A310D4">
        <w:lastRenderedPageBreak/>
        <w:t>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w:t>
      </w:r>
      <w:r w:rsidRPr="00A310D4">
        <w:lastRenderedPageBreak/>
        <w:t xml:space="preserve">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w:t>
      </w:r>
      <w:r w:rsidR="004C0A48" w:rsidRPr="00A310D4">
        <w:lastRenderedPageBreak/>
        <w:t xml:space="preserve">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w:t>
      </w:r>
      <w:r w:rsidRPr="00A310D4">
        <w:lastRenderedPageBreak/>
        <w:t>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w:t>
      </w:r>
      <w:r w:rsidR="00F862BE" w:rsidRPr="00A310D4">
        <w:lastRenderedPageBreak/>
        <w:t>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lastRenderedPageBreak/>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w:t>
      </w:r>
      <w:r w:rsidR="00CA4BF8" w:rsidRPr="00A310D4">
        <w:lastRenderedPageBreak/>
        <w:t xml:space="preserve">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lastRenderedPageBreak/>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6F6A5F">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96450C">
          <w:rPr>
            <w:noProof/>
          </w:rPr>
          <w:t>24</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4.%2."/>
      <w:lvlJc w:val="left"/>
      <w:pPr>
        <w:ind w:left="-127" w:firstLine="567"/>
      </w:pPr>
      <w:rPr>
        <w:rFonts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16C3B"/>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4EB7"/>
    <w:rsid w:val="00485582"/>
    <w:rsid w:val="00494701"/>
    <w:rsid w:val="004A2751"/>
    <w:rsid w:val="004A27DB"/>
    <w:rsid w:val="004C0A48"/>
    <w:rsid w:val="004C5B9F"/>
    <w:rsid w:val="004D20A4"/>
    <w:rsid w:val="004D3EFA"/>
    <w:rsid w:val="004D6D88"/>
    <w:rsid w:val="004E1754"/>
    <w:rsid w:val="004E79F3"/>
    <w:rsid w:val="004F0AEE"/>
    <w:rsid w:val="00504EA1"/>
    <w:rsid w:val="005068F5"/>
    <w:rsid w:val="00516207"/>
    <w:rsid w:val="00516C3C"/>
    <w:rsid w:val="005237F7"/>
    <w:rsid w:val="00533956"/>
    <w:rsid w:val="00536365"/>
    <w:rsid w:val="00536514"/>
    <w:rsid w:val="005400C6"/>
    <w:rsid w:val="00546065"/>
    <w:rsid w:val="00546BA0"/>
    <w:rsid w:val="00547AD7"/>
    <w:rsid w:val="005506E9"/>
    <w:rsid w:val="00550DC9"/>
    <w:rsid w:val="00553A30"/>
    <w:rsid w:val="00565BE7"/>
    <w:rsid w:val="0057199B"/>
    <w:rsid w:val="00572334"/>
    <w:rsid w:val="00572435"/>
    <w:rsid w:val="00576DC8"/>
    <w:rsid w:val="00583A13"/>
    <w:rsid w:val="0059524F"/>
    <w:rsid w:val="005A2B8F"/>
    <w:rsid w:val="005A31D6"/>
    <w:rsid w:val="005A7492"/>
    <w:rsid w:val="005B05F6"/>
    <w:rsid w:val="005B4FA1"/>
    <w:rsid w:val="005B6006"/>
    <w:rsid w:val="005C4D07"/>
    <w:rsid w:val="005D07A6"/>
    <w:rsid w:val="005D2592"/>
    <w:rsid w:val="005D3F46"/>
    <w:rsid w:val="005D43B1"/>
    <w:rsid w:val="005E678C"/>
    <w:rsid w:val="005E7E92"/>
    <w:rsid w:val="005F6FC9"/>
    <w:rsid w:val="00600210"/>
    <w:rsid w:val="00615100"/>
    <w:rsid w:val="0062201D"/>
    <w:rsid w:val="00624702"/>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6F6A5F"/>
    <w:rsid w:val="007053D4"/>
    <w:rsid w:val="0074248C"/>
    <w:rsid w:val="00750DCA"/>
    <w:rsid w:val="00761B38"/>
    <w:rsid w:val="00772E62"/>
    <w:rsid w:val="0077389C"/>
    <w:rsid w:val="00774204"/>
    <w:rsid w:val="0079408C"/>
    <w:rsid w:val="00794438"/>
    <w:rsid w:val="00795EC4"/>
    <w:rsid w:val="007A4FFE"/>
    <w:rsid w:val="007B3891"/>
    <w:rsid w:val="007B480E"/>
    <w:rsid w:val="007B5C6D"/>
    <w:rsid w:val="007C1B4F"/>
    <w:rsid w:val="007C2551"/>
    <w:rsid w:val="007C2740"/>
    <w:rsid w:val="007D0D0A"/>
    <w:rsid w:val="007E08A5"/>
    <w:rsid w:val="007E1D58"/>
    <w:rsid w:val="007E5F72"/>
    <w:rsid w:val="007E718F"/>
    <w:rsid w:val="007E7670"/>
    <w:rsid w:val="007F250F"/>
    <w:rsid w:val="007F3318"/>
    <w:rsid w:val="008111E0"/>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D5925"/>
    <w:rsid w:val="008E3057"/>
    <w:rsid w:val="008E31DA"/>
    <w:rsid w:val="008E7F90"/>
    <w:rsid w:val="00912F3B"/>
    <w:rsid w:val="0091302A"/>
    <w:rsid w:val="00915516"/>
    <w:rsid w:val="0091656E"/>
    <w:rsid w:val="0094256C"/>
    <w:rsid w:val="0096450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9F3BF6"/>
    <w:rsid w:val="00A05AC9"/>
    <w:rsid w:val="00A05E60"/>
    <w:rsid w:val="00A07E44"/>
    <w:rsid w:val="00A137D5"/>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E7E24"/>
    <w:rsid w:val="00AF1017"/>
    <w:rsid w:val="00B06754"/>
    <w:rsid w:val="00B126AF"/>
    <w:rsid w:val="00B20FD4"/>
    <w:rsid w:val="00B40D31"/>
    <w:rsid w:val="00B47277"/>
    <w:rsid w:val="00B5056C"/>
    <w:rsid w:val="00B54D25"/>
    <w:rsid w:val="00B60229"/>
    <w:rsid w:val="00B60503"/>
    <w:rsid w:val="00B707E7"/>
    <w:rsid w:val="00BA0076"/>
    <w:rsid w:val="00BA6CC7"/>
    <w:rsid w:val="00BA7C4F"/>
    <w:rsid w:val="00BB29BB"/>
    <w:rsid w:val="00BB2BC8"/>
    <w:rsid w:val="00BC5634"/>
    <w:rsid w:val="00BD3D2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23C4"/>
    <w:rsid w:val="00CA4BF8"/>
    <w:rsid w:val="00CA70D8"/>
    <w:rsid w:val="00CB13BB"/>
    <w:rsid w:val="00CB2102"/>
    <w:rsid w:val="00CC3049"/>
    <w:rsid w:val="00CD45F5"/>
    <w:rsid w:val="00CD482E"/>
    <w:rsid w:val="00CF1B58"/>
    <w:rsid w:val="00CF58D4"/>
    <w:rsid w:val="00D00071"/>
    <w:rsid w:val="00D02123"/>
    <w:rsid w:val="00D036BC"/>
    <w:rsid w:val="00D12DA1"/>
    <w:rsid w:val="00D20628"/>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4855"/>
    <w:rsid w:val="00E54567"/>
    <w:rsid w:val="00E55083"/>
    <w:rsid w:val="00E678EB"/>
    <w:rsid w:val="00E75544"/>
    <w:rsid w:val="00EA2267"/>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937F"/>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7747-236E-4D1C-83D7-FD670727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12442</Words>
  <Characters>70925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18</cp:revision>
  <cp:lastPrinted>2023-05-29T08:28:00Z</cp:lastPrinted>
  <dcterms:created xsi:type="dcterms:W3CDTF">2020-06-22T11:52:00Z</dcterms:created>
  <dcterms:modified xsi:type="dcterms:W3CDTF">2023-05-29T08:28:00Z</dcterms:modified>
</cp:coreProperties>
</file>