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F272AC" w:rsidRPr="00F272AC">
        <w:rPr>
          <w:rFonts w:eastAsiaTheme="minorEastAsia"/>
          <w:caps/>
        </w:rPr>
        <w:t>на земельном участке, государственная собственность на который не разграничена</w:t>
      </w:r>
      <w:r w:rsidRPr="00F272AC">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773496" w:rsidRPr="00773496">
        <w:rPr>
          <w:rFonts w:eastAsiaTheme="minorEastAsia"/>
          <w:caps/>
        </w:rPr>
        <w:t>ОТДЕЛЬНОСТОЯЩИЙ ЩИТ 2М*3М ПО АДРЕСУ: ПОС. СИВЕРСКИЙ, Ш. КРАМСКОЕ (Ж/Д ПЕРЕЕЗД</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9E73E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9E73EC" w:rsidRPr="009E73EC">
        <w:rPr>
          <w:rFonts w:ascii="Times New Roman" w:hAnsi="Times New Roman" w:cs="Times New Roman"/>
          <w:sz w:val="24"/>
          <w:szCs w:val="24"/>
        </w:rPr>
        <w:t>на земельном участке, государственная собственность на который не разграничена</w:t>
      </w:r>
      <w:r w:rsidR="00174D61" w:rsidRPr="009E73EC">
        <w:rPr>
          <w:rFonts w:ascii="Times New Roman" w:hAnsi="Times New Roman" w:cs="Times New Roman"/>
          <w:sz w:val="24"/>
          <w:szCs w:val="24"/>
        </w:rPr>
        <w:t xml:space="preserve"> </w:t>
      </w:r>
      <w:bookmarkStart w:id="3" w:name="_GoBack"/>
      <w:bookmarkEnd w:id="3"/>
      <w:r w:rsidR="00955B19" w:rsidRPr="00C2146A">
        <w:rPr>
          <w:rFonts w:ascii="Times New Roman" w:hAnsi="Times New Roman" w:cs="Times New Roman"/>
          <w:sz w:val="24"/>
          <w:szCs w:val="24"/>
        </w:rPr>
        <w:t>(</w:t>
      </w:r>
      <w:r w:rsidR="00D96F1D">
        <w:rPr>
          <w:rFonts w:ascii="Times New Roman" w:hAnsi="Times New Roman" w:cs="Times New Roman"/>
          <w:sz w:val="24"/>
          <w:szCs w:val="24"/>
        </w:rPr>
        <w:t>Отдельностоящий Щ</w:t>
      </w:r>
      <w:r w:rsidR="00D96F1D" w:rsidRPr="00D96F1D">
        <w:rPr>
          <w:rFonts w:ascii="Times New Roman" w:hAnsi="Times New Roman" w:cs="Times New Roman"/>
          <w:sz w:val="24"/>
          <w:szCs w:val="24"/>
        </w:rPr>
        <w:t xml:space="preserve">ит </w:t>
      </w:r>
      <w:r w:rsidR="00773496">
        <w:rPr>
          <w:rFonts w:ascii="Times New Roman" w:hAnsi="Times New Roman" w:cs="Times New Roman"/>
          <w:sz w:val="24"/>
          <w:szCs w:val="24"/>
        </w:rPr>
        <w:t>2</w:t>
      </w:r>
      <w:r w:rsidR="00D96F1D" w:rsidRPr="00D96F1D">
        <w:rPr>
          <w:rFonts w:ascii="Times New Roman" w:hAnsi="Times New Roman" w:cs="Times New Roman"/>
          <w:sz w:val="24"/>
          <w:szCs w:val="24"/>
        </w:rPr>
        <w:t>м*</w:t>
      </w:r>
      <w:r w:rsidR="00773496">
        <w:rPr>
          <w:rFonts w:ascii="Times New Roman" w:hAnsi="Times New Roman" w:cs="Times New Roman"/>
          <w:sz w:val="24"/>
          <w:szCs w:val="24"/>
        </w:rPr>
        <w:t>3</w:t>
      </w:r>
      <w:r w:rsidR="00D96F1D" w:rsidRPr="00D96F1D">
        <w:rPr>
          <w:rFonts w:ascii="Times New Roman" w:hAnsi="Times New Roman" w:cs="Times New Roman"/>
          <w:sz w:val="24"/>
          <w:szCs w:val="24"/>
        </w:rPr>
        <w:t xml:space="preserve">м по адресу: пос. </w:t>
      </w:r>
      <w:r w:rsidR="00773496">
        <w:rPr>
          <w:rFonts w:ascii="Times New Roman" w:hAnsi="Times New Roman" w:cs="Times New Roman"/>
          <w:sz w:val="24"/>
          <w:szCs w:val="24"/>
        </w:rPr>
        <w:t>Сиверский, ш. Крамское (ж/д переезд</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4C111A" w:rsidRPr="004C111A">
        <w:rPr>
          <w:rFonts w:ascii="Times New Roman" w:eastAsia="Calibri" w:hAnsi="Times New Roman" w:cs="Times New Roman"/>
          <w:b/>
          <w:sz w:val="24"/>
          <w:szCs w:val="24"/>
        </w:rPr>
        <w:t>172 800,00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476647985"/>
      <w:r w:rsidRPr="00251600">
        <w:rPr>
          <w:rFonts w:ascii="Times New Roman" w:hAnsi="Times New Roman"/>
          <w:sz w:val="24"/>
          <w:szCs w:val="24"/>
        </w:rPr>
        <w:t>2. Содержание и состав конкурсной документации</w:t>
      </w:r>
      <w:bookmarkEnd w:id="4"/>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5" w:name="_Toc150231518"/>
      <w:bookmarkStart w:id="6" w:name="_Toc476647986"/>
      <w:bookmarkStart w:id="7" w:name="_Toc150231519"/>
      <w:r w:rsidRPr="00251600">
        <w:rPr>
          <w:rFonts w:ascii="Times New Roman" w:hAnsi="Times New Roman"/>
          <w:sz w:val="24"/>
          <w:szCs w:val="24"/>
        </w:rPr>
        <w:t xml:space="preserve">3. Сведения </w:t>
      </w:r>
      <w:bookmarkEnd w:id="5"/>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6"/>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8"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8"/>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9" w:name="_Toc476647988"/>
      <w:bookmarkEnd w:id="7"/>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9"/>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10"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10"/>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1"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4C111A">
        <w:rPr>
          <w:rFonts w:ascii="Times New Roman" w:eastAsia="Calibri" w:hAnsi="Times New Roman" w:cs="Times New Roman"/>
          <w:b/>
          <w:sz w:val="24"/>
          <w:szCs w:val="24"/>
        </w:rPr>
        <w:t>1 728</w:t>
      </w:r>
      <w:r w:rsidR="00D96F1D">
        <w:rPr>
          <w:rFonts w:ascii="Times New Roman" w:eastAsia="Calibri" w:hAnsi="Times New Roman" w:cs="Times New Roman"/>
          <w:b/>
          <w:sz w:val="24"/>
          <w:szCs w:val="24"/>
        </w:rPr>
        <w:t>,00</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773496">
        <w:rPr>
          <w:rFonts w:ascii="Times New Roman" w:hAnsi="Times New Roman" w:cs="Times New Roman"/>
          <w:sz w:val="24"/>
          <w:szCs w:val="24"/>
        </w:rPr>
        <w:t>Отдельностоящий Щ</w:t>
      </w:r>
      <w:r w:rsidR="00773496" w:rsidRPr="00D96F1D">
        <w:rPr>
          <w:rFonts w:ascii="Times New Roman" w:hAnsi="Times New Roman" w:cs="Times New Roman"/>
          <w:sz w:val="24"/>
          <w:szCs w:val="24"/>
        </w:rPr>
        <w:t xml:space="preserve">ит </w:t>
      </w:r>
      <w:r w:rsidR="00773496">
        <w:rPr>
          <w:rFonts w:ascii="Times New Roman" w:hAnsi="Times New Roman" w:cs="Times New Roman"/>
          <w:sz w:val="24"/>
          <w:szCs w:val="24"/>
        </w:rPr>
        <w:t>2</w:t>
      </w:r>
      <w:r w:rsidR="00773496" w:rsidRPr="00D96F1D">
        <w:rPr>
          <w:rFonts w:ascii="Times New Roman" w:hAnsi="Times New Roman" w:cs="Times New Roman"/>
          <w:sz w:val="24"/>
          <w:szCs w:val="24"/>
        </w:rPr>
        <w:t>м*</w:t>
      </w:r>
      <w:r w:rsidR="00773496">
        <w:rPr>
          <w:rFonts w:ascii="Times New Roman" w:hAnsi="Times New Roman" w:cs="Times New Roman"/>
          <w:sz w:val="24"/>
          <w:szCs w:val="24"/>
        </w:rPr>
        <w:t>3</w:t>
      </w:r>
      <w:r w:rsidR="00773496" w:rsidRPr="00D96F1D">
        <w:rPr>
          <w:rFonts w:ascii="Times New Roman" w:hAnsi="Times New Roman" w:cs="Times New Roman"/>
          <w:sz w:val="24"/>
          <w:szCs w:val="24"/>
        </w:rPr>
        <w:t xml:space="preserve">м по адресу: пос. </w:t>
      </w:r>
      <w:r w:rsidR="00773496">
        <w:rPr>
          <w:rFonts w:ascii="Times New Roman" w:hAnsi="Times New Roman" w:cs="Times New Roman"/>
          <w:sz w:val="24"/>
          <w:szCs w:val="24"/>
        </w:rPr>
        <w:t>Сиверский, ш. Крамское (ж/д переезд</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2"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1"/>
      <w:r w:rsidR="00217FB0" w:rsidRPr="00E17155">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9E73EC">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9E73EC">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111A"/>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3496"/>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3EC"/>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2AC"/>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91B2-1B83-48EA-AE87-77BDA6B2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3174</Words>
  <Characters>22221</Characters>
  <Application>Microsoft Office Word</Application>
  <DocSecurity>0</DocSecurity>
  <Lines>2469</Lines>
  <Paragraphs>846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24549</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14</cp:revision>
  <cp:lastPrinted>2019-07-05T08:50:00Z</cp:lastPrinted>
  <dcterms:created xsi:type="dcterms:W3CDTF">2020-04-02T11:28:00Z</dcterms:created>
  <dcterms:modified xsi:type="dcterms:W3CDTF">2020-07-21T06:53:00Z</dcterms:modified>
</cp:coreProperties>
</file>