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244243" w:rsidRDefault="003146A3" w:rsidP="00244243">
      <w:pPr>
        <w:pStyle w:val="af1"/>
        <w:rPr>
          <w:rFonts w:eastAsiaTheme="minorEastAsia"/>
          <w:caps/>
        </w:rPr>
      </w:pPr>
      <w:r w:rsidRPr="00244243">
        <w:rPr>
          <w:rFonts w:eastAsiaTheme="minorEastAsia"/>
          <w:caps/>
        </w:rPr>
        <w:t>ДОКУМЕНТАЦИЯ</w:t>
      </w:r>
      <w:r w:rsidR="00244243" w:rsidRPr="00244243">
        <w:rPr>
          <w:rFonts w:eastAsiaTheme="minorEastAsia"/>
          <w:caps/>
        </w:rPr>
        <w:t xml:space="preserve"> </w:t>
      </w:r>
      <w:r w:rsidRPr="005D2592">
        <w:rPr>
          <w:rFonts w:eastAsiaTheme="minorEastAsia"/>
          <w:caps/>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1A7103">
        <w:rPr>
          <w:rFonts w:eastAsiaTheme="minorEastAsia"/>
          <w:caps/>
        </w:rPr>
        <w:t xml:space="preserve">, </w:t>
      </w:r>
      <w:r w:rsidR="001A7103" w:rsidRPr="001A7103">
        <w:rPr>
          <w:rFonts w:eastAsiaTheme="minorEastAsia"/>
          <w:caps/>
        </w:rPr>
        <w:t>государственная собственность на который не разграничена</w:t>
      </w:r>
      <w:r w:rsidRPr="001A7103">
        <w:rPr>
          <w:rFonts w:eastAsiaTheme="minorEastAsia"/>
          <w:caps/>
        </w:rPr>
        <w:t>.</w:t>
      </w:r>
    </w:p>
    <w:p w:rsidR="008C7FE4" w:rsidRPr="00A310D4" w:rsidRDefault="008C7FE4" w:rsidP="008C7FE4">
      <w:pPr>
        <w:pStyle w:val="af1"/>
        <w:rPr>
          <w:rFonts w:eastAsiaTheme="minorEastAsia"/>
          <w:b w:val="0"/>
          <w:caps/>
        </w:rPr>
      </w:pPr>
      <w:r w:rsidRPr="005D2592">
        <w:rPr>
          <w:rFonts w:eastAsiaTheme="minorEastAsia"/>
          <w:caps/>
        </w:rPr>
        <w:t>(</w:t>
      </w:r>
      <w:r w:rsidR="00C70ADC" w:rsidRPr="00C70ADC">
        <w:rPr>
          <w:rFonts w:eastAsiaTheme="minorEastAsia"/>
          <w:caps/>
        </w:rPr>
        <w:t>Отдельностоящий Щит 2м*3м по адресу: дер. Куровицы, поворот на г. Гатчина</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3146A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1A7103" w:rsidRPr="001A7103">
        <w:rPr>
          <w:rFonts w:ascii="Times New Roman" w:hAnsi="Times New Roman" w:cs="Times New Roman"/>
          <w:sz w:val="24"/>
          <w:szCs w:val="24"/>
        </w:rPr>
        <w:t xml:space="preserve">государственная собственность на который не разграничена </w:t>
      </w:r>
      <w:bookmarkStart w:id="1" w:name="_GoBack"/>
      <w:bookmarkEnd w:id="1"/>
      <w:r w:rsidRPr="008C58C2">
        <w:rPr>
          <w:rFonts w:ascii="Times New Roman" w:hAnsi="Times New Roman" w:cs="Times New Roman"/>
          <w:sz w:val="24"/>
          <w:szCs w:val="24"/>
        </w:rPr>
        <w:t>(</w:t>
      </w:r>
      <w:r w:rsidR="00C70ADC">
        <w:rPr>
          <w:rFonts w:ascii="Times New Roman" w:hAnsi="Times New Roman" w:cs="Times New Roman"/>
          <w:sz w:val="24"/>
          <w:szCs w:val="24"/>
        </w:rPr>
        <w:t>Отдельностоящий Щ</w:t>
      </w:r>
      <w:r w:rsidR="00C70ADC" w:rsidRPr="00D96F1D">
        <w:rPr>
          <w:rFonts w:ascii="Times New Roman" w:hAnsi="Times New Roman" w:cs="Times New Roman"/>
          <w:sz w:val="24"/>
          <w:szCs w:val="24"/>
        </w:rPr>
        <w:t xml:space="preserve">ит </w:t>
      </w:r>
      <w:r w:rsidR="00C70ADC">
        <w:rPr>
          <w:rFonts w:ascii="Times New Roman" w:hAnsi="Times New Roman" w:cs="Times New Roman"/>
          <w:sz w:val="24"/>
          <w:szCs w:val="24"/>
        </w:rPr>
        <w:t>2</w:t>
      </w:r>
      <w:r w:rsidR="00C70ADC" w:rsidRPr="00D96F1D">
        <w:rPr>
          <w:rFonts w:ascii="Times New Roman" w:hAnsi="Times New Roman" w:cs="Times New Roman"/>
          <w:sz w:val="24"/>
          <w:szCs w:val="24"/>
        </w:rPr>
        <w:t>м*</w:t>
      </w:r>
      <w:r w:rsidR="00C70ADC">
        <w:rPr>
          <w:rFonts w:ascii="Times New Roman" w:hAnsi="Times New Roman" w:cs="Times New Roman"/>
          <w:sz w:val="24"/>
          <w:szCs w:val="24"/>
        </w:rPr>
        <w:t>3</w:t>
      </w:r>
      <w:r w:rsidR="00C70ADC" w:rsidRPr="00D96F1D">
        <w:rPr>
          <w:rFonts w:ascii="Times New Roman" w:hAnsi="Times New Roman" w:cs="Times New Roman"/>
          <w:sz w:val="24"/>
          <w:szCs w:val="24"/>
        </w:rPr>
        <w:t xml:space="preserve">м по адресу: </w:t>
      </w:r>
      <w:r w:rsidR="00C70ADC">
        <w:rPr>
          <w:rFonts w:ascii="Times New Roman" w:hAnsi="Times New Roman" w:cs="Times New Roman"/>
          <w:sz w:val="24"/>
          <w:szCs w:val="24"/>
        </w:rPr>
        <w:t>дер. Куровицы, поворот на г. Гатчина</w:t>
      </w:r>
      <w:r w:rsidRPr="008C58C2">
        <w:rPr>
          <w:rFonts w:ascii="Times New Roman" w:hAnsi="Times New Roman" w:cs="Times New Roman"/>
          <w:sz w:val="24"/>
          <w:szCs w:val="24"/>
        </w:rPr>
        <w:t xml:space="preserve">). </w:t>
      </w:r>
    </w:p>
    <w:p w:rsidR="00F8305C" w:rsidRPr="005531CC" w:rsidRDefault="00B8733F" w:rsidP="00346867">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346867" w:rsidRPr="00346867">
        <w:rPr>
          <w:rFonts w:ascii="Times New Roman" w:eastAsia="Calibri" w:hAnsi="Times New Roman" w:cs="Times New Roman"/>
          <w:b/>
          <w:sz w:val="24"/>
          <w:szCs w:val="24"/>
        </w:rPr>
        <w:t>345 600,00</w:t>
      </w:r>
      <w:r w:rsidR="00346867">
        <w:rPr>
          <w:rFonts w:ascii="Times New Roman" w:eastAsia="Calibri" w:hAnsi="Times New Roman" w:cs="Times New Roman"/>
          <w:b/>
          <w:sz w:val="24"/>
          <w:szCs w:val="24"/>
        </w:rPr>
        <w:t xml:space="preserve"> </w:t>
      </w:r>
      <w:r w:rsidR="00F8305C" w:rsidRPr="005531CC">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3443C0" w:rsidRPr="00A32F64">
        <w:rPr>
          <w:rFonts w:ascii="Times New Roman" w:hAnsi="Times New Roman" w:cs="Times New Roman"/>
          <w:sz w:val="24"/>
          <w:szCs w:val="24"/>
        </w:rPr>
        <w:t xml:space="preserve">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917B9B">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tbl>
      <w:tblPr>
        <w:tblStyle w:val="ae"/>
        <w:tblpPr w:leftFromText="180" w:rightFromText="180" w:vertAnchor="text" w:tblpY="1"/>
        <w:tblOverlap w:val="never"/>
        <w:tblW w:w="9918" w:type="dxa"/>
        <w:tblLook w:val="04A0" w:firstRow="1" w:lastRow="0" w:firstColumn="1" w:lastColumn="0" w:noHBand="0" w:noVBand="1"/>
      </w:tblPr>
      <w:tblGrid>
        <w:gridCol w:w="503"/>
        <w:gridCol w:w="1352"/>
        <w:gridCol w:w="1424"/>
        <w:gridCol w:w="1885"/>
        <w:gridCol w:w="2300"/>
        <w:gridCol w:w="2454"/>
      </w:tblGrid>
      <w:tr w:rsidR="001159DB" w:rsidRPr="00C75376" w:rsidTr="00D265E7">
        <w:tc>
          <w:tcPr>
            <w:tcW w:w="503"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352"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кв.м.</w:t>
            </w:r>
          </w:p>
        </w:tc>
        <w:tc>
          <w:tcPr>
            <w:tcW w:w="2300"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45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917B9B" w:rsidRPr="00C75376" w:rsidTr="002170AD">
        <w:tc>
          <w:tcPr>
            <w:tcW w:w="503" w:type="dxa"/>
            <w:vAlign w:val="center"/>
          </w:tcPr>
          <w:p w:rsidR="00917B9B" w:rsidRPr="002170AD" w:rsidRDefault="00917B9B" w:rsidP="002170AD">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352" w:type="dxa"/>
            <w:vAlign w:val="center"/>
          </w:tcPr>
          <w:p w:rsidR="00917B9B" w:rsidRPr="002170AD" w:rsidRDefault="00772D45"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color w:val="000000" w:themeColor="text1"/>
                <w:sz w:val="20"/>
                <w:szCs w:val="24"/>
              </w:rPr>
              <w:t>Сиверское</w:t>
            </w:r>
            <w:r w:rsidR="008C7FE4" w:rsidRPr="008C7FE4">
              <w:rPr>
                <w:rFonts w:ascii="Times New Roman" w:hAnsi="Times New Roman" w:cs="Times New Roman"/>
                <w:color w:val="000000" w:themeColor="text1"/>
                <w:sz w:val="20"/>
                <w:szCs w:val="24"/>
              </w:rPr>
              <w:t xml:space="preserve"> городское поселение</w:t>
            </w:r>
          </w:p>
        </w:tc>
        <w:tc>
          <w:tcPr>
            <w:tcW w:w="1424" w:type="dxa"/>
            <w:vAlign w:val="center"/>
          </w:tcPr>
          <w:p w:rsidR="00917B9B" w:rsidRPr="002170AD" w:rsidRDefault="00C70ADC" w:rsidP="002170AD">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12</w:t>
            </w:r>
            <w:r w:rsidR="00772D45">
              <w:rPr>
                <w:rFonts w:ascii="Times New Roman" w:hAnsi="Times New Roman" w:cs="Times New Roman"/>
                <w:color w:val="000000" w:themeColor="text1"/>
                <w:sz w:val="20"/>
                <w:szCs w:val="24"/>
              </w:rPr>
              <w:t xml:space="preserve"> (Лист 5)</w:t>
            </w:r>
          </w:p>
        </w:tc>
        <w:tc>
          <w:tcPr>
            <w:tcW w:w="1885" w:type="dxa"/>
            <w:vAlign w:val="center"/>
          </w:tcPr>
          <w:p w:rsidR="00917B9B" w:rsidRPr="002170AD" w:rsidRDefault="00772D45"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12</w:t>
            </w:r>
          </w:p>
        </w:tc>
        <w:tc>
          <w:tcPr>
            <w:tcW w:w="2300" w:type="dxa"/>
            <w:vAlign w:val="center"/>
          </w:tcPr>
          <w:p w:rsidR="00917B9B" w:rsidRPr="002170AD" w:rsidRDefault="008C7FE4" w:rsidP="00772D45">
            <w:pPr>
              <w:pStyle w:val="a6"/>
              <w:tabs>
                <w:tab w:val="left" w:pos="1134"/>
              </w:tabs>
              <w:ind w:left="0"/>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 xml:space="preserve">Отдельностоящий щит </w:t>
            </w:r>
            <w:r w:rsidR="00772D45">
              <w:rPr>
                <w:rFonts w:ascii="Times New Roman" w:hAnsi="Times New Roman" w:cs="Times New Roman"/>
                <w:color w:val="000000" w:themeColor="text1"/>
                <w:sz w:val="20"/>
                <w:szCs w:val="24"/>
              </w:rPr>
              <w:t>2</w:t>
            </w:r>
            <w:r w:rsidR="005531CC">
              <w:rPr>
                <w:rFonts w:ascii="Times New Roman" w:hAnsi="Times New Roman" w:cs="Times New Roman"/>
                <w:color w:val="000000" w:themeColor="text1"/>
                <w:sz w:val="20"/>
                <w:szCs w:val="24"/>
              </w:rPr>
              <w:t xml:space="preserve">м х </w:t>
            </w:r>
            <w:r w:rsidR="00772D45">
              <w:rPr>
                <w:rFonts w:ascii="Times New Roman" w:hAnsi="Times New Roman" w:cs="Times New Roman"/>
                <w:color w:val="000000" w:themeColor="text1"/>
                <w:sz w:val="20"/>
                <w:szCs w:val="24"/>
              </w:rPr>
              <w:t>3</w:t>
            </w:r>
            <w:r w:rsidRPr="008C7FE4">
              <w:rPr>
                <w:rFonts w:ascii="Times New Roman" w:hAnsi="Times New Roman" w:cs="Times New Roman"/>
                <w:color w:val="000000" w:themeColor="text1"/>
                <w:sz w:val="20"/>
                <w:szCs w:val="24"/>
              </w:rPr>
              <w:t>м</w:t>
            </w:r>
          </w:p>
        </w:tc>
        <w:tc>
          <w:tcPr>
            <w:tcW w:w="2454" w:type="dxa"/>
            <w:vAlign w:val="center"/>
          </w:tcPr>
          <w:p w:rsidR="00917B9B" w:rsidRPr="002170AD" w:rsidRDefault="00C70ADC" w:rsidP="00772D45">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Дер. Куровицы, поворот на г. Гатчина</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4"/>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w:t>
      </w:r>
      <w:r w:rsidRPr="00C75376">
        <w:rPr>
          <w:rFonts w:ascii="Times New Roman" w:hAnsi="Times New Roman" w:cs="Times New Roman"/>
          <w:sz w:val="24"/>
          <w:szCs w:val="24"/>
        </w:rPr>
        <w:lastRenderedPageBreak/>
        <w:t xml:space="preserve">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Pr="00C75376"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D5F91"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3972"/>
        <w:gridCol w:w="5853"/>
      </w:tblGrid>
      <w:tr w:rsidR="0033735C" w:rsidRPr="005D52B6" w:rsidTr="0033735C">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3972"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5853"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33735C" w:rsidRPr="005D52B6" w:rsidTr="0033735C">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3972"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5853"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33735C" w:rsidRPr="00C75376" w:rsidTr="0033735C">
        <w:trPr>
          <w:trHeight w:val="10234"/>
        </w:trPr>
        <w:tc>
          <w:tcPr>
            <w:tcW w:w="531" w:type="dxa"/>
          </w:tcPr>
          <w:p w:rsidR="00E629E0" w:rsidRPr="005D52B6" w:rsidRDefault="00E629E0" w:rsidP="00E629E0">
            <w:pPr>
              <w:jc w:val="center"/>
              <w:rPr>
                <w:rFonts w:ascii="Times New Roman" w:hAnsi="Times New Roman" w:cs="Times New Roman"/>
              </w:rPr>
            </w:pPr>
            <w:r w:rsidRPr="005D52B6">
              <w:rPr>
                <w:rFonts w:ascii="Times New Roman" w:hAnsi="Times New Roman" w:cs="Times New Roman"/>
              </w:rPr>
              <w:t>1</w:t>
            </w:r>
          </w:p>
        </w:tc>
        <w:tc>
          <w:tcPr>
            <w:tcW w:w="3972" w:type="dxa"/>
          </w:tcPr>
          <w:p w:rsidR="00796418" w:rsidRDefault="008C7FE4" w:rsidP="005531CC">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 xml:space="preserve">Отдельностоящий щит </w:t>
            </w:r>
          </w:p>
          <w:p w:rsidR="00E629E0" w:rsidRDefault="00772D45" w:rsidP="005531CC">
            <w:pPr>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2</w:t>
            </w:r>
            <w:r w:rsidR="005531CC">
              <w:rPr>
                <w:rFonts w:ascii="Times New Roman" w:hAnsi="Times New Roman" w:cs="Times New Roman"/>
                <w:color w:val="000000" w:themeColor="text1"/>
                <w:sz w:val="20"/>
                <w:szCs w:val="24"/>
              </w:rPr>
              <w:t xml:space="preserve">м х </w:t>
            </w:r>
            <w:r>
              <w:rPr>
                <w:rFonts w:ascii="Times New Roman" w:hAnsi="Times New Roman" w:cs="Times New Roman"/>
                <w:color w:val="000000" w:themeColor="text1"/>
                <w:sz w:val="20"/>
                <w:szCs w:val="24"/>
              </w:rPr>
              <w:t>3</w:t>
            </w:r>
            <w:r w:rsidR="008C7FE4" w:rsidRPr="008C7FE4">
              <w:rPr>
                <w:rFonts w:ascii="Times New Roman" w:hAnsi="Times New Roman" w:cs="Times New Roman"/>
                <w:color w:val="000000" w:themeColor="text1"/>
                <w:sz w:val="20"/>
                <w:szCs w:val="24"/>
              </w:rPr>
              <w:t>м</w:t>
            </w:r>
          </w:p>
          <w:p w:rsidR="005531CC" w:rsidRDefault="005531CC" w:rsidP="005531CC">
            <w:pPr>
              <w:jc w:val="center"/>
              <w:rPr>
                <w:rFonts w:ascii="Times New Roman" w:hAnsi="Times New Roman" w:cs="Times New Roman"/>
                <w:color w:val="000000" w:themeColor="text1"/>
                <w:sz w:val="20"/>
                <w:szCs w:val="24"/>
              </w:rPr>
            </w:pPr>
          </w:p>
          <w:p w:rsidR="00796418" w:rsidRDefault="00796418" w:rsidP="005531CC">
            <w:pPr>
              <w:jc w:val="center"/>
              <w:rPr>
                <w:rFonts w:ascii="Times New Roman" w:hAnsi="Times New Roman" w:cs="Times New Roman"/>
                <w:b/>
                <w:sz w:val="24"/>
                <w:szCs w:val="24"/>
                <w:highlight w:val="yellow"/>
              </w:rPr>
            </w:pPr>
            <w:r w:rsidRPr="005D52B6">
              <w:rPr>
                <w:rFonts w:ascii="Times New Roman" w:hAnsi="Times New Roman" w:cs="Times New Roman"/>
                <w:noProof/>
              </w:rPr>
              <w:drawing>
                <wp:inline distT="0" distB="0" distL="0" distR="0" wp14:anchorId="3B6D7002" wp14:editId="706ECCAC">
                  <wp:extent cx="1561940" cy="2590800"/>
                  <wp:effectExtent l="0" t="0" r="0" b="0"/>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46" r="12768" b="7530"/>
                          <a:stretch/>
                        </pic:blipFill>
                        <pic:spPr bwMode="auto">
                          <a:xfrm>
                            <a:off x="0" y="0"/>
                            <a:ext cx="1607428" cy="2666251"/>
                          </a:xfrm>
                          <a:prstGeom prst="rect">
                            <a:avLst/>
                          </a:prstGeom>
                          <a:noFill/>
                          <a:ln>
                            <a:noFill/>
                          </a:ln>
                          <a:extLst>
                            <a:ext uri="{53640926-AAD7-44D8-BBD7-CCE9431645EC}">
                              <a14:shadowObscured xmlns:a14="http://schemas.microsoft.com/office/drawing/2010/main"/>
                            </a:ext>
                          </a:extLst>
                        </pic:spPr>
                      </pic:pic>
                    </a:graphicData>
                  </a:graphic>
                </wp:inline>
              </w:drawing>
            </w:r>
          </w:p>
          <w:p w:rsidR="00796418" w:rsidRDefault="00796418" w:rsidP="00796418">
            <w:pPr>
              <w:rPr>
                <w:rFonts w:ascii="Times New Roman" w:hAnsi="Times New Roman" w:cs="Times New Roman"/>
                <w:sz w:val="24"/>
                <w:szCs w:val="24"/>
                <w:highlight w:val="yellow"/>
              </w:rPr>
            </w:pPr>
          </w:p>
          <w:p w:rsidR="005531CC" w:rsidRDefault="00796418" w:rsidP="00796418">
            <w:pPr>
              <w:jc w:val="center"/>
              <w:rPr>
                <w:rFonts w:ascii="Times New Roman" w:hAnsi="Times New Roman" w:cs="Times New Roman"/>
                <w:sz w:val="20"/>
                <w:szCs w:val="20"/>
              </w:rPr>
            </w:pPr>
            <w:r>
              <w:rPr>
                <w:rFonts w:ascii="Times New Roman" w:hAnsi="Times New Roman" w:cs="Times New Roman"/>
                <w:sz w:val="20"/>
                <w:szCs w:val="20"/>
              </w:rPr>
              <w:t>(</w:t>
            </w:r>
            <w:r w:rsidRPr="00796418">
              <w:rPr>
                <w:rFonts w:ascii="Times New Roman" w:hAnsi="Times New Roman" w:cs="Times New Roman"/>
                <w:sz w:val="20"/>
                <w:szCs w:val="20"/>
              </w:rPr>
              <w:t>Эскиз рекламной конструкции</w:t>
            </w:r>
            <w:r>
              <w:rPr>
                <w:rFonts w:ascii="Times New Roman" w:hAnsi="Times New Roman" w:cs="Times New Roman"/>
                <w:sz w:val="20"/>
                <w:szCs w:val="20"/>
              </w:rPr>
              <w:t>)</w:t>
            </w:r>
          </w:p>
          <w:p w:rsidR="0033735C" w:rsidRDefault="0033735C" w:rsidP="00796418">
            <w:pPr>
              <w:jc w:val="center"/>
              <w:rPr>
                <w:rFonts w:ascii="Times New Roman" w:hAnsi="Times New Roman" w:cs="Times New Roman"/>
                <w:sz w:val="20"/>
                <w:szCs w:val="20"/>
              </w:rPr>
            </w:pPr>
          </w:p>
          <w:p w:rsidR="0033735C" w:rsidRPr="00796418" w:rsidRDefault="00BD64BB" w:rsidP="00796418">
            <w:pPr>
              <w:jc w:val="center"/>
              <w:rPr>
                <w:rFonts w:ascii="Times New Roman" w:hAnsi="Times New Roman" w:cs="Times New Roman"/>
                <w:sz w:val="20"/>
                <w:szCs w:val="20"/>
                <w:highlight w:val="yellow"/>
              </w:rPr>
            </w:pPr>
            <w:r w:rsidRPr="00BD64BB">
              <w:rPr>
                <w:rFonts w:ascii="Times New Roman" w:hAnsi="Times New Roman" w:cs="Times New Roman"/>
                <w:noProof/>
                <w:sz w:val="20"/>
                <w:szCs w:val="20"/>
              </w:rPr>
              <w:drawing>
                <wp:inline distT="0" distB="0" distL="0" distR="0">
                  <wp:extent cx="2333625" cy="2743200"/>
                  <wp:effectExtent l="0" t="0" r="0" b="0"/>
                  <wp:docPr id="3" name="Рисунок 3" descr="C:\Users\Матвиевская\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твиевская\Desktop\Безымянный.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2743200"/>
                          </a:xfrm>
                          <a:prstGeom prst="rect">
                            <a:avLst/>
                          </a:prstGeom>
                          <a:noFill/>
                          <a:ln>
                            <a:noFill/>
                          </a:ln>
                        </pic:spPr>
                      </pic:pic>
                    </a:graphicData>
                  </a:graphic>
                </wp:inline>
              </w:drawing>
            </w:r>
          </w:p>
        </w:tc>
        <w:tc>
          <w:tcPr>
            <w:tcW w:w="5853" w:type="dxa"/>
            <w:shd w:val="clear" w:color="auto" w:fill="auto"/>
          </w:tcPr>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Высота информационного поля не более </w:t>
            </w:r>
            <w:r w:rsidR="00772D45">
              <w:rPr>
                <w:rFonts w:ascii="Times New Roman" w:hAnsi="Times New Roman" w:cs="Times New Roman"/>
                <w:sz w:val="24"/>
                <w:szCs w:val="24"/>
              </w:rPr>
              <w:t>2</w:t>
            </w:r>
            <w:r w:rsidRPr="005531CC">
              <w:rPr>
                <w:rFonts w:ascii="Times New Roman" w:hAnsi="Times New Roman" w:cs="Times New Roman"/>
                <w:sz w:val="24"/>
                <w:szCs w:val="24"/>
              </w:rPr>
              <w:t>000мм.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Ширина информационного поля не более </w:t>
            </w:r>
            <w:r w:rsidR="00772D45">
              <w:rPr>
                <w:rFonts w:ascii="Times New Roman" w:hAnsi="Times New Roman" w:cs="Times New Roman"/>
                <w:sz w:val="24"/>
                <w:szCs w:val="24"/>
              </w:rPr>
              <w:t>3</w:t>
            </w:r>
            <w:r w:rsidRPr="005531CC">
              <w:rPr>
                <w:rFonts w:ascii="Times New Roman" w:hAnsi="Times New Roman" w:cs="Times New Roman"/>
                <w:sz w:val="24"/>
                <w:szCs w:val="24"/>
              </w:rPr>
              <w:t>000мм.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металлогалогенными лампами. </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Общая площадь информационных полей должна быть не более </w:t>
            </w:r>
            <w:r w:rsidR="00B1311D">
              <w:rPr>
                <w:rFonts w:ascii="Times New Roman" w:hAnsi="Times New Roman" w:cs="Times New Roman"/>
                <w:sz w:val="24"/>
                <w:szCs w:val="24"/>
              </w:rPr>
              <w:t>12</w:t>
            </w:r>
            <w:r w:rsidRPr="005531CC">
              <w:rPr>
                <w:rFonts w:ascii="Times New Roman" w:hAnsi="Times New Roman" w:cs="Times New Roman"/>
                <w:sz w:val="24"/>
                <w:szCs w:val="24"/>
              </w:rPr>
              <w:t xml:space="preserve"> м2.</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346867" w:rsidRDefault="005531CC" w:rsidP="00346867">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2170AD" w:rsidRPr="00371DEB" w:rsidRDefault="005531CC" w:rsidP="00346867">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кг./кв.м.</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Общая площадь рекламной поверхности конструкции, кв.м.</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D902B5">
        <w:trPr>
          <w:trHeight w:val="415"/>
        </w:trPr>
        <w:tc>
          <w:tcPr>
            <w:tcW w:w="486"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42EC" w:rsidRPr="00D902B5" w:rsidRDefault="00931FD6" w:rsidP="00346867">
            <w:pPr>
              <w:jc w:val="center"/>
              <w:rPr>
                <w:rFonts w:ascii="Times New Roman" w:hAnsi="Times New Roman" w:cs="Times New Roman"/>
                <w:b/>
              </w:rPr>
            </w:pPr>
            <w:r>
              <w:rPr>
                <w:rFonts w:ascii="Times New Roman" w:hAnsi="Times New Roman" w:cs="Times New Roman"/>
                <w:color w:val="000000" w:themeColor="text1"/>
                <w:sz w:val="20"/>
                <w:szCs w:val="24"/>
              </w:rPr>
              <w:t xml:space="preserve">Отдельностоящий щит </w:t>
            </w:r>
            <w:r w:rsidR="00346867">
              <w:rPr>
                <w:rFonts w:ascii="Times New Roman" w:hAnsi="Times New Roman" w:cs="Times New Roman"/>
                <w:color w:val="000000" w:themeColor="text1"/>
                <w:sz w:val="20"/>
                <w:szCs w:val="24"/>
              </w:rPr>
              <w:t>2</w:t>
            </w:r>
            <w:r w:rsidR="00C77DD3" w:rsidRPr="008C7FE4">
              <w:rPr>
                <w:rFonts w:ascii="Times New Roman" w:hAnsi="Times New Roman" w:cs="Times New Roman"/>
                <w:color w:val="000000" w:themeColor="text1"/>
                <w:sz w:val="20"/>
                <w:szCs w:val="24"/>
              </w:rPr>
              <w:t>м</w:t>
            </w:r>
            <w:r>
              <w:rPr>
                <w:rFonts w:ascii="Times New Roman" w:hAnsi="Times New Roman" w:cs="Times New Roman"/>
                <w:color w:val="000000" w:themeColor="text1"/>
                <w:sz w:val="20"/>
                <w:szCs w:val="24"/>
              </w:rPr>
              <w:t xml:space="preserve"> х </w:t>
            </w:r>
            <w:r w:rsidR="00346867">
              <w:rPr>
                <w:rFonts w:ascii="Times New Roman" w:hAnsi="Times New Roman" w:cs="Times New Roman"/>
                <w:color w:val="000000" w:themeColor="text1"/>
                <w:sz w:val="20"/>
                <w:szCs w:val="24"/>
              </w:rPr>
              <w:t>3</w:t>
            </w:r>
            <w:r w:rsidR="00C77DD3" w:rsidRPr="008C7FE4">
              <w:rPr>
                <w:rFonts w:ascii="Times New Roman" w:hAnsi="Times New Roman" w:cs="Times New Roman"/>
                <w:color w:val="000000" w:themeColor="text1"/>
                <w:sz w:val="20"/>
                <w:szCs w:val="24"/>
              </w:rPr>
              <w:t>м</w:t>
            </w:r>
          </w:p>
        </w:tc>
        <w:tc>
          <w:tcPr>
            <w:tcW w:w="992" w:type="dxa"/>
            <w:shd w:val="clear" w:color="auto" w:fill="auto"/>
            <w:vAlign w:val="center"/>
          </w:tcPr>
          <w:p w:rsidR="007C42EC" w:rsidRPr="00D902B5" w:rsidRDefault="00380A39" w:rsidP="00380A3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976" w:type="dxa"/>
            <w:shd w:val="clear" w:color="auto" w:fill="auto"/>
            <w:vAlign w:val="center"/>
          </w:tcPr>
          <w:p w:rsidR="007C42EC" w:rsidRPr="005D5F91" w:rsidRDefault="00C77DD3" w:rsidP="00335099">
            <w:pPr>
              <w:jc w:val="center"/>
              <w:rPr>
                <w:rFonts w:ascii="Times New Roman" w:eastAsia="Calibri" w:hAnsi="Times New Roman" w:cs="Times New Roman"/>
                <w:sz w:val="20"/>
                <w:szCs w:val="20"/>
              </w:rPr>
            </w:pPr>
            <w:r w:rsidRPr="005D5F91">
              <w:rPr>
                <w:rFonts w:ascii="Times New Roman" w:eastAsia="Calibri" w:hAnsi="Times New Roman" w:cs="Times New Roman"/>
                <w:sz w:val="20"/>
                <w:szCs w:val="20"/>
              </w:rPr>
              <w:t>2</w:t>
            </w:r>
            <w:r w:rsidR="00D902B5" w:rsidRPr="005D5F91">
              <w:rPr>
                <w:rFonts w:ascii="Times New Roman" w:eastAsia="Calibri" w:hAnsi="Times New Roman" w:cs="Times New Roman"/>
                <w:sz w:val="20"/>
                <w:szCs w:val="20"/>
              </w:rPr>
              <w:t>40,00</w:t>
            </w:r>
          </w:p>
        </w:tc>
        <w:tc>
          <w:tcPr>
            <w:tcW w:w="1701" w:type="dxa"/>
            <w:shd w:val="clear" w:color="auto" w:fill="auto"/>
            <w:vAlign w:val="center"/>
          </w:tcPr>
          <w:p w:rsidR="007C42EC" w:rsidRPr="005D5F91" w:rsidRDefault="00346867"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2745" w:type="dxa"/>
            <w:shd w:val="clear" w:color="auto" w:fill="auto"/>
            <w:vAlign w:val="center"/>
          </w:tcPr>
          <w:p w:rsidR="007C42EC" w:rsidRPr="005D5F91" w:rsidRDefault="00346867" w:rsidP="00D902B5">
            <w:pPr>
              <w:jc w:val="center"/>
              <w:rPr>
                <w:rFonts w:ascii="Times New Roman" w:eastAsia="Calibri" w:hAnsi="Times New Roman" w:cs="Times New Roman"/>
                <w:sz w:val="20"/>
                <w:szCs w:val="20"/>
              </w:rPr>
            </w:pPr>
            <w:r>
              <w:rPr>
                <w:rFonts w:ascii="Times New Roman" w:eastAsia="Calibri" w:hAnsi="Times New Roman" w:cs="Times New Roman"/>
                <w:sz w:val="20"/>
                <w:szCs w:val="20"/>
              </w:rPr>
              <w:t>2 880</w:t>
            </w:r>
            <w:r w:rsidR="005531CC">
              <w:rPr>
                <w:rFonts w:ascii="Times New Roman" w:eastAsia="Calibri" w:hAnsi="Times New Roman" w:cs="Times New Roman"/>
                <w:sz w:val="20"/>
                <w:szCs w:val="20"/>
              </w:rPr>
              <w:t>,00</w:t>
            </w:r>
          </w:p>
        </w:tc>
        <w:tc>
          <w:tcPr>
            <w:tcW w:w="1842"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42EC" w:rsidRPr="00C86776" w:rsidRDefault="00346867" w:rsidP="00346867">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345</w:t>
            </w:r>
            <w:r w:rsidR="005531CC">
              <w:rPr>
                <w:rFonts w:ascii="Times New Roman" w:eastAsia="Calibri" w:hAnsi="Times New Roman" w:cs="Times New Roman"/>
                <w:b/>
                <w:sz w:val="20"/>
                <w:szCs w:val="20"/>
              </w:rPr>
              <w:t> </w:t>
            </w:r>
            <w:r>
              <w:rPr>
                <w:rFonts w:ascii="Times New Roman" w:eastAsia="Calibri" w:hAnsi="Times New Roman" w:cs="Times New Roman"/>
                <w:b/>
                <w:sz w:val="20"/>
                <w:szCs w:val="20"/>
              </w:rPr>
              <w:t>6</w:t>
            </w:r>
            <w:r w:rsidR="005531CC">
              <w:rPr>
                <w:rFonts w:ascii="Times New Roman" w:eastAsia="Calibri" w:hAnsi="Times New Roman" w:cs="Times New Roman"/>
                <w:b/>
                <w:sz w:val="20"/>
                <w:szCs w:val="20"/>
              </w:rPr>
              <w:t>00,00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Всего НМЦД, руб</w:t>
            </w:r>
          </w:p>
        </w:tc>
        <w:tc>
          <w:tcPr>
            <w:tcW w:w="1778" w:type="dxa"/>
            <w:vAlign w:val="center"/>
          </w:tcPr>
          <w:p w:rsidR="00917B9B" w:rsidRPr="00C86776" w:rsidRDefault="00346867" w:rsidP="00917B9B">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345 600,00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1A7103">
          <w:rPr>
            <w:noProof/>
          </w:rPr>
          <w:t>3</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1A7103">
          <w:rPr>
            <w:noProof/>
          </w:rPr>
          <w:t>1</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0F573F"/>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A7103"/>
    <w:rsid w:val="001B44FD"/>
    <w:rsid w:val="001B7B4C"/>
    <w:rsid w:val="001C4FA4"/>
    <w:rsid w:val="001D2649"/>
    <w:rsid w:val="001E7961"/>
    <w:rsid w:val="001F02E9"/>
    <w:rsid w:val="001F214A"/>
    <w:rsid w:val="001F4C61"/>
    <w:rsid w:val="001F61CF"/>
    <w:rsid w:val="00202CF7"/>
    <w:rsid w:val="00206B47"/>
    <w:rsid w:val="00213C39"/>
    <w:rsid w:val="00215A36"/>
    <w:rsid w:val="002170AD"/>
    <w:rsid w:val="002276CF"/>
    <w:rsid w:val="00234E02"/>
    <w:rsid w:val="002366ED"/>
    <w:rsid w:val="00240737"/>
    <w:rsid w:val="00241C97"/>
    <w:rsid w:val="0024337B"/>
    <w:rsid w:val="00244243"/>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3735C"/>
    <w:rsid w:val="003413A3"/>
    <w:rsid w:val="0034293B"/>
    <w:rsid w:val="003443C0"/>
    <w:rsid w:val="00346867"/>
    <w:rsid w:val="003515DB"/>
    <w:rsid w:val="00354E85"/>
    <w:rsid w:val="00355FD3"/>
    <w:rsid w:val="00371DEB"/>
    <w:rsid w:val="00377699"/>
    <w:rsid w:val="00380A39"/>
    <w:rsid w:val="00382515"/>
    <w:rsid w:val="00382CB9"/>
    <w:rsid w:val="00383A55"/>
    <w:rsid w:val="003864FE"/>
    <w:rsid w:val="003920D9"/>
    <w:rsid w:val="0039612F"/>
    <w:rsid w:val="003A2D04"/>
    <w:rsid w:val="003A6533"/>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31CC"/>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2D45"/>
    <w:rsid w:val="00773891"/>
    <w:rsid w:val="007754A5"/>
    <w:rsid w:val="0077577B"/>
    <w:rsid w:val="00775FD9"/>
    <w:rsid w:val="00777788"/>
    <w:rsid w:val="007859C2"/>
    <w:rsid w:val="00791E41"/>
    <w:rsid w:val="00794D13"/>
    <w:rsid w:val="00796418"/>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1FD6"/>
    <w:rsid w:val="00933BA5"/>
    <w:rsid w:val="009406FF"/>
    <w:rsid w:val="009409C6"/>
    <w:rsid w:val="00942D4B"/>
    <w:rsid w:val="00944213"/>
    <w:rsid w:val="0095508C"/>
    <w:rsid w:val="00965339"/>
    <w:rsid w:val="00971A6B"/>
    <w:rsid w:val="009764E5"/>
    <w:rsid w:val="0098120F"/>
    <w:rsid w:val="00981C5F"/>
    <w:rsid w:val="00983628"/>
    <w:rsid w:val="00987130"/>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311D"/>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D64BB"/>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0ADC"/>
    <w:rsid w:val="00C71E09"/>
    <w:rsid w:val="00C732AA"/>
    <w:rsid w:val="00C73FEC"/>
    <w:rsid w:val="00C75267"/>
    <w:rsid w:val="00C75376"/>
    <w:rsid w:val="00C77DD3"/>
    <w:rsid w:val="00C867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2B5"/>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87A4"/>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49B1-08E6-41B7-B961-44DFD729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15</cp:revision>
  <cp:lastPrinted>2020-08-03T09:39:00Z</cp:lastPrinted>
  <dcterms:created xsi:type="dcterms:W3CDTF">2020-04-02T11:40:00Z</dcterms:created>
  <dcterms:modified xsi:type="dcterms:W3CDTF">2020-08-03T09:40:00Z</dcterms:modified>
</cp:coreProperties>
</file>